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宋体" w:hAnsi="宋体" w:eastAsia="宋体" w:cs="宋体"/>
          <w:b/>
          <w:color w:val="auto"/>
          <w:sz w:val="36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lang w:val="en-US" w:eastAsia="zh-CN"/>
        </w:rPr>
        <w:t>技术指标</w:t>
      </w:r>
    </w:p>
    <w:p>
      <w:pPr>
        <w:pStyle w:val="3"/>
        <w:rPr>
          <w:rFonts w:hint="eastAsia" w:ascii="宋体" w:hAnsi="宋体" w:eastAsia="宋体" w:cs="宋体"/>
          <w:b/>
          <w:color w:val="auto"/>
          <w:sz w:val="36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lang w:val="en-US" w:eastAsia="zh-CN"/>
        </w:rPr>
        <w:t>1、云安全管理平台：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1.性能要求：包含云安全资源池管理平台软件与通用授权，支持以通用授权方式提供安全组件，可灵活转换为下一代防火墙、IPS、WAF、应用交付等组件。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2.平台完全解耦合，采用旁路部署模式，支持通过策略路由实现流量牵引便于适应多厂商云平台。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3.支持在系统界面上动态分配安全组件的性能规格，同时支持已分配组件规格的动态变更和授权回收，回收后的授权可以分配给其他用户和其他类型的安全组件使用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4.每套</w:t>
      </w:r>
      <w:r>
        <w:rPr>
          <w:rFonts w:hint="eastAsia"/>
          <w:lang w:val="en-US" w:eastAsia="zh-CN"/>
        </w:rPr>
        <w:t>含</w:t>
      </w:r>
      <w:r>
        <w:rPr>
          <w:rFonts w:hint="default"/>
          <w:lang w:val="en-US" w:eastAsia="zh-CN"/>
        </w:rPr>
        <w:t>50个安全点授权</w:t>
      </w:r>
      <w:r>
        <w:rPr>
          <w:rFonts w:hint="eastAsia"/>
          <w:lang w:val="en-US" w:eastAsia="zh-CN"/>
        </w:rPr>
        <w:t>（永久授权）</w:t>
      </w:r>
    </w:p>
    <w:p>
      <w:pPr>
        <w:pStyle w:val="3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</w:rPr>
        <w:t>安全点总体分配</w:t>
      </w:r>
      <w:r>
        <w:rPr>
          <w:rFonts w:hint="eastAsia" w:ascii="宋体" w:hAnsi="宋体" w:eastAsia="宋体" w:cs="宋体"/>
          <w:color w:val="auto"/>
          <w:sz w:val="32"/>
          <w:lang w:val="en-US" w:eastAsia="zh-CN"/>
        </w:rPr>
        <w:t>方案</w:t>
      </w:r>
    </w:p>
    <w:p>
      <w:pPr>
        <w:spacing w:after="60" w:line="360" w:lineRule="auto"/>
        <w:ind w:firstLine="4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吉高集团</w:t>
      </w:r>
      <w:r>
        <w:rPr>
          <w:rFonts w:hint="eastAsia" w:ascii="宋体" w:hAnsi="宋体" w:eastAsia="宋体" w:cs="宋体"/>
          <w:b w:val="0"/>
          <w:color w:val="auto"/>
          <w:sz w:val="21"/>
        </w:rPr>
        <w:t>数字底座建设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项目中私有云建设方案中需要重点考虑业务上云过程中的安全，</w:t>
      </w:r>
      <w:r>
        <w:rPr>
          <w:rFonts w:hint="eastAsia" w:ascii="宋体" w:hAnsi="宋体" w:eastAsia="宋体" w:cs="宋体"/>
          <w:color w:val="auto"/>
        </w:rPr>
        <w:t>需要遵照《网络安全法》、《网络安全等级保护》等相关合规要求，建立一套行之有效和及时响应的合规管理机制，在相关业务环节和内部运营流程中开展合规建设工作，以实现对云计算算力层面、工具层面及集团及子分公司应用层面的各层次防护，使集团云的运作既符合网络安全相关法律法规要求，又保证集团云建立的安全管理制度得到有效执行。</w:t>
      </w: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吉高集团数据中心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架构中涵盖</w:t>
      </w:r>
      <w:r>
        <w:rPr>
          <w:rFonts w:hint="eastAsia" w:ascii="宋体" w:hAnsi="宋体" w:eastAsia="宋体" w:cs="宋体"/>
          <w:b w:val="0"/>
          <w:color w:val="auto"/>
          <w:sz w:val="21"/>
        </w:rPr>
        <w:t>收费网区、综合业务区、大数据区三网域物理架构，共划分8个网络区域，承载全省高速公路收费、监控、应急指挥、出行服务等核心业务系统</w:t>
      </w:r>
      <w:r>
        <w:rPr>
          <w:rFonts w:hint="eastAsia" w:ascii="宋体" w:hAnsi="宋体" w:eastAsia="宋体" w:cs="宋体"/>
          <w:b w:val="0"/>
          <w:color w:val="auto"/>
          <w:sz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计划在私有云平台上搭建</w:t>
      </w:r>
      <w:r>
        <w:rPr>
          <w:rFonts w:hint="eastAsia" w:ascii="宋体" w:hAnsi="宋体" w:eastAsia="宋体" w:cs="宋体"/>
          <w:b w:val="0"/>
          <w:color w:val="auto"/>
          <w:sz w:val="21"/>
        </w:rPr>
        <w:t>。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云内安全部分采用</w:t>
      </w:r>
      <w:r>
        <w:rPr>
          <w:rFonts w:hint="eastAsia" w:ascii="宋体" w:hAnsi="宋体" w:eastAsia="宋体" w:cs="宋体"/>
          <w:b w:val="0"/>
          <w:color w:val="auto"/>
          <w:sz w:val="21"/>
        </w:rPr>
        <w:t>安全资源池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方案，安全资源池方案可通过安全点兑换不同规格的组件</w:t>
      </w:r>
      <w:r>
        <w:rPr>
          <w:rFonts w:hint="eastAsia" w:ascii="宋体" w:hAnsi="宋体" w:eastAsia="宋体" w:cs="宋体"/>
          <w:b w:val="0"/>
          <w:color w:val="auto"/>
          <w:sz w:val="21"/>
        </w:rPr>
        <w:t>软件产品，本方案结合数字底座实际部署环境、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按照业务系统满足</w:t>
      </w:r>
      <w:r>
        <w:rPr>
          <w:rFonts w:hint="eastAsia" w:ascii="宋体" w:hAnsi="宋体" w:eastAsia="宋体" w:cs="宋体"/>
          <w:b w:val="0"/>
          <w:color w:val="auto"/>
          <w:sz w:val="21"/>
        </w:rPr>
        <w:t>等保三级要求及安全点兑换规则，设计安全资源池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安全点</w:t>
      </w:r>
      <w:r>
        <w:rPr>
          <w:rFonts w:hint="eastAsia" w:ascii="宋体" w:hAnsi="宋体" w:eastAsia="宋体" w:cs="宋体"/>
          <w:b w:val="0"/>
          <w:color w:val="auto"/>
          <w:sz w:val="21"/>
        </w:rPr>
        <w:t>的详细使用规划。</w:t>
      </w:r>
    </w:p>
    <w:p>
      <w:pPr>
        <w:spacing w:after="60" w:line="360" w:lineRule="auto"/>
        <w:ind w:firstLine="420"/>
        <w:rPr>
          <w:rFonts w:hint="default" w:ascii="宋体" w:hAnsi="宋体" w:eastAsia="宋体" w:cs="宋体"/>
          <w:b w:val="0"/>
          <w:color w:val="auto"/>
          <w:sz w:val="21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安全资源池内组件流量走势如下：</w:t>
      </w:r>
    </w:p>
    <w:p>
      <w:pPr>
        <w:pStyle w:val="143"/>
        <w:numPr>
          <w:ilvl w:val="0"/>
          <w:numId w:val="7"/>
        </w:numPr>
        <w:ind w:firstLineChars="0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t>安全管理中心</w:t>
      </w:r>
    </w:p>
    <w:p>
      <w:pPr>
        <w:ind w:firstLine="64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313690</wp:posOffset>
            </wp:positionH>
            <wp:positionV relativeFrom="paragraph">
              <wp:posOffset>619125</wp:posOffset>
            </wp:positionV>
            <wp:extent cx="7065645" cy="3877310"/>
            <wp:effectExtent l="0" t="0" r="1905" b="889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65645" cy="387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</w:rPr>
        <w:t>在安全VPC内部署vCSSP（安全资源池管理平台），统一对租户VPC的安全组件进行统一授权、集中管理。组件根据需要近源部署。</w:t>
      </w:r>
    </w:p>
    <w:p>
      <w:pPr>
        <w:ind w:firstLine="640"/>
        <w:rPr>
          <w:rFonts w:hint="eastAsia" w:ascii="宋体" w:hAnsi="宋体" w:eastAsia="宋体" w:cs="宋体"/>
          <w:color w:val="auto"/>
        </w:rPr>
      </w:pPr>
    </w:p>
    <w:p>
      <w:pPr>
        <w:pStyle w:val="143"/>
        <w:numPr>
          <w:ilvl w:val="0"/>
          <w:numId w:val="7"/>
        </w:numPr>
        <w:ind w:firstLineChars="0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t>远程接入类（零信任、VPN、堡垒机）</w:t>
      </w:r>
    </w:p>
    <w:p>
      <w:pPr>
        <w:ind w:firstLine="64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基于云安全管理平台，为每一个云租户分配一个独立的远程接入类组件，部署在租户VPC内，租户通过登陆远程接入类组件接入访问租户VPC内的虚拟机业务系统。</w:t>
      </w:r>
    </w:p>
    <w:p>
      <w:pPr>
        <w:ind w:firstLine="64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64135</wp:posOffset>
            </wp:positionV>
            <wp:extent cx="6157595" cy="3378835"/>
            <wp:effectExtent l="0" t="0" r="5080" b="254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337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143"/>
        <w:numPr>
          <w:ilvl w:val="0"/>
          <w:numId w:val="7"/>
        </w:numPr>
        <w:ind w:firstLineChars="0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t>访问控制类（防火墙、IPS、WAF、负载均衡等）</w:t>
      </w:r>
    </w:p>
    <w:p>
      <w:pPr>
        <w:ind w:firstLine="643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-253365</wp:posOffset>
            </wp:positionH>
            <wp:positionV relativeFrom="paragraph">
              <wp:posOffset>1125220</wp:posOffset>
            </wp:positionV>
            <wp:extent cx="5741035" cy="3150235"/>
            <wp:effectExtent l="0" t="0" r="2540" b="254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315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</w:rPr>
        <w:t>基于云安全管理平台，为每一个云租户分配一个独立的访问控制类组件，部署在租户VPC内，对所有进出租户VPC边界的访问请求进行深度检测和防护。</w:t>
      </w:r>
    </w:p>
    <w:p>
      <w:pPr>
        <w:ind w:firstLine="643"/>
        <w:rPr>
          <w:rFonts w:hint="eastAsia" w:ascii="宋体" w:hAnsi="宋体" w:eastAsia="宋体" w:cs="宋体"/>
          <w:b/>
          <w:bCs/>
          <w:color w:val="auto"/>
        </w:rPr>
      </w:pPr>
    </w:p>
    <w:p>
      <w:pPr>
        <w:pStyle w:val="143"/>
        <w:keepNext/>
        <w:numPr>
          <w:ilvl w:val="0"/>
          <w:numId w:val="7"/>
        </w:numPr>
        <w:ind w:left="1061" w:firstLineChars="0"/>
        <w:rPr>
          <w:rFonts w:hint="eastAsia" w:ascii="宋体" w:hAnsi="宋体" w:eastAsia="宋体" w:cs="宋体"/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t>审计类（日志审计、数据库审计、漏扫等）</w:t>
      </w:r>
    </w:p>
    <w:p>
      <w:pPr>
        <w:ind w:firstLine="643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-303530</wp:posOffset>
            </wp:positionH>
            <wp:positionV relativeFrom="paragraph">
              <wp:posOffset>1131570</wp:posOffset>
            </wp:positionV>
            <wp:extent cx="5703570" cy="3129915"/>
            <wp:effectExtent l="0" t="0" r="1905" b="381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3570" cy="312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</w:rPr>
        <w:t>基于云安全管理平台，为每一个云租户分配一个独立的云日志审计组件，部署在租户VPC内，统一收集租户VPC内的虚拟机、安全组件的日志。</w:t>
      </w:r>
    </w:p>
    <w:p>
      <w:pPr>
        <w:ind w:firstLine="643"/>
        <w:rPr>
          <w:rFonts w:hint="eastAsia" w:ascii="宋体" w:hAnsi="宋体" w:eastAsia="宋体" w:cs="宋体"/>
          <w:b/>
          <w:bCs/>
          <w:color w:val="auto"/>
        </w:rPr>
      </w:pPr>
    </w:p>
    <w:p>
      <w:pPr>
        <w:ind w:firstLine="643"/>
        <w:rPr>
          <w:rFonts w:hint="default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安全资源池可兑换组件如下：</w:t>
      </w:r>
    </w:p>
    <w:tbl>
      <w:tblPr>
        <w:tblStyle w:val="32"/>
        <w:tblW w:w="108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1504"/>
        <w:gridCol w:w="77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4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5B9BD5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类别</w:t>
            </w:r>
          </w:p>
        </w:tc>
        <w:tc>
          <w:tcPr>
            <w:tcW w:w="15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组件</w:t>
            </w:r>
          </w:p>
        </w:tc>
        <w:tc>
          <w:tcPr>
            <w:tcW w:w="771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000000" w:fill="5B9BD5"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接入云安全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堡垒机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运维人员操作网络设备、数据库、服务器监控与审计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接入云安全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  <w:t>零信任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VPN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提供END to LAN、LAN to LAN、分支机构VPN的远程安全接入方案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云上网络安全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下一代防火墙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提供2-7层整体安全防护，包括ACL控制、应用识别与流控、入侵防御、僵尸网络检测等功能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云上网络安全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日志审计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包含日志分析系统全功能模块（日志的采集、过滤、归并、关联分析、展现、告警监控、实施事件监控、报表等）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云上应用安全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WAF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包含Web攻击防护、Web漏洞攻击防护等针对Web应用的保护功能。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云上应用安全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漏洞扫描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包括WEB漏洞扫描、系统漏洞扫描、弱口令扫描、安全基线扫描、数据库扫描等，对网络里的各种元素进行安全性的检查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云上数据安全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数据库审计</w:t>
            </w:r>
          </w:p>
        </w:tc>
        <w:tc>
          <w:tcPr>
            <w:tcW w:w="77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对所有用户访问数据库的各种操作行为、内容，进行实时监控；对高危操作实时告警；对入侵和违规行为进行预警和告警，对所有行为进行事后查询、取证、调查分析</w:t>
            </w:r>
          </w:p>
        </w:tc>
      </w:tr>
    </w:tbl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pStyle w:val="3"/>
        <w:rPr>
          <w:rFonts w:hint="eastAsia" w:ascii="宋体" w:hAnsi="宋体" w:eastAsia="宋体" w:cs="宋体"/>
          <w:color w:val="auto"/>
          <w:sz w:val="32"/>
        </w:rPr>
      </w:pPr>
      <w:r>
        <w:rPr>
          <w:rFonts w:hint="eastAsia" w:ascii="宋体" w:hAnsi="宋体" w:eastAsia="宋体" w:cs="宋体"/>
          <w:color w:val="auto"/>
          <w:sz w:val="32"/>
        </w:rPr>
        <w:t>安全点总体分配</w:t>
      </w: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安全资源池采用软件定义安全架构，通过安全点兑换不同规格的安全组件。本方案共分配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100个安全点，其中</w:t>
      </w:r>
      <w:r>
        <w:rPr>
          <w:rFonts w:hint="eastAsia" w:ascii="宋体" w:hAnsi="宋体" w:eastAsia="宋体" w:cs="宋体"/>
          <w:b w:val="0"/>
          <w:color w:val="auto"/>
          <w:sz w:val="21"/>
        </w:rPr>
        <w:t>97个安全点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上架使用</w:t>
      </w:r>
      <w:r>
        <w:rPr>
          <w:rFonts w:hint="eastAsia" w:ascii="宋体" w:hAnsi="宋体" w:eastAsia="宋体" w:cs="宋体"/>
          <w:b w:val="0"/>
          <w:color w:val="auto"/>
          <w:sz w:val="21"/>
        </w:rPr>
        <w:t>，预留3个安全点用于业务扩展和应急弹性扩容。</w:t>
      </w:r>
    </w:p>
    <w:p>
      <w:pPr>
        <w:pStyle w:val="3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32"/>
        </w:rPr>
        <w:t>各区域详细部署</w:t>
      </w:r>
    </w:p>
    <w:p>
      <w:pPr>
        <w:spacing w:after="60" w:line="360" w:lineRule="auto"/>
        <w:ind w:firstLine="4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安全组件采用"分布式部署、集中管理"模式，在8个网络区域分别部署相应的安全组件，所有安全组件由安全运维区的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云安全资源池</w:t>
      </w:r>
      <w:r>
        <w:rPr>
          <w:rFonts w:hint="eastAsia" w:ascii="宋体" w:hAnsi="宋体" w:eastAsia="宋体" w:cs="宋体"/>
          <w:b w:val="0"/>
          <w:color w:val="auto"/>
          <w:sz w:val="21"/>
        </w:rPr>
        <w:t>管理平台统一纳管。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984"/>
        <w:gridCol w:w="737"/>
        <w:gridCol w:w="737"/>
        <w:gridCol w:w="850"/>
        <w:gridCol w:w="850"/>
        <w:gridCol w:w="21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区域名称</w:t>
            </w:r>
          </w:p>
        </w:tc>
        <w:tc>
          <w:tcPr>
            <w:tcW w:w="984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防火墙</w:t>
            </w:r>
          </w:p>
        </w:tc>
        <w:tc>
          <w:tcPr>
            <w:tcW w:w="737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WAF</w:t>
            </w:r>
          </w:p>
        </w:tc>
        <w:tc>
          <w:tcPr>
            <w:tcW w:w="737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IPS</w:t>
            </w:r>
          </w:p>
        </w:tc>
        <w:tc>
          <w:tcPr>
            <w:tcW w:w="850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数据库审计</w:t>
            </w:r>
          </w:p>
        </w:tc>
        <w:tc>
          <w:tcPr>
            <w:tcW w:w="850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负载均衡</w:t>
            </w:r>
          </w:p>
        </w:tc>
        <w:tc>
          <w:tcPr>
            <w:tcW w:w="2146" w:type="dxa"/>
            <w:shd w:val="clear" w:color="auto" w:fill="003366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</w:rPr>
              <w:t>区域重点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互联网区</w:t>
            </w:r>
          </w:p>
        </w:tc>
        <w:tc>
          <w:tcPr>
            <w:tcW w:w="98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5000M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1000M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1000M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2146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出口边界防护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收费网区</w:t>
            </w:r>
          </w:p>
        </w:tc>
        <w:tc>
          <w:tcPr>
            <w:tcW w:w="984" w:type="dxa"/>
            <w:shd w:val="clear" w:color="auto" w:fill="F0F4F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1500M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300M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200M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8套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2个</w:t>
            </w:r>
          </w:p>
        </w:tc>
        <w:tc>
          <w:tcPr>
            <w:tcW w:w="2146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核心生产系统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综合业务区</w:t>
            </w:r>
          </w:p>
        </w:tc>
        <w:tc>
          <w:tcPr>
            <w:tcW w:w="98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1500M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500M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300M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20套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6个</w:t>
            </w:r>
          </w:p>
        </w:tc>
        <w:tc>
          <w:tcPr>
            <w:tcW w:w="2146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综合业务系统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大数据区</w:t>
            </w:r>
          </w:p>
        </w:tc>
        <w:tc>
          <w:tcPr>
            <w:tcW w:w="984" w:type="dxa"/>
            <w:shd w:val="clear" w:color="auto" w:fill="F0F4F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1000M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400M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200M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15套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4个</w:t>
            </w:r>
          </w:p>
        </w:tc>
        <w:tc>
          <w:tcPr>
            <w:tcW w:w="2146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数据中台服务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ETC发行区</w:t>
            </w:r>
          </w:p>
        </w:tc>
        <w:tc>
          <w:tcPr>
            <w:tcW w:w="98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500M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100M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4套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1个</w:t>
            </w:r>
          </w:p>
        </w:tc>
        <w:tc>
          <w:tcPr>
            <w:tcW w:w="2146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ETC发行服务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政务预留区</w:t>
            </w:r>
          </w:p>
        </w:tc>
        <w:tc>
          <w:tcPr>
            <w:tcW w:w="984" w:type="dxa"/>
            <w:shd w:val="clear" w:color="auto" w:fill="F0F4F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300M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5套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2146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政务单位系统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DMZ区</w:t>
            </w:r>
          </w:p>
        </w:tc>
        <w:tc>
          <w:tcPr>
            <w:tcW w:w="98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737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3个</w:t>
            </w:r>
          </w:p>
        </w:tc>
        <w:tc>
          <w:tcPr>
            <w:tcW w:w="2146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对外Web服务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1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安全运维区</w:t>
            </w:r>
          </w:p>
        </w:tc>
        <w:tc>
          <w:tcPr>
            <w:tcW w:w="984" w:type="dxa"/>
            <w:shd w:val="clear" w:color="auto" w:fill="F0F4F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sz w:val="18"/>
              </w:rPr>
              <w:t>300M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-</w:t>
            </w:r>
          </w:p>
        </w:tc>
        <w:tc>
          <w:tcPr>
            <w:tcW w:w="737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200M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1套</w:t>
            </w:r>
          </w:p>
        </w:tc>
        <w:tc>
          <w:tcPr>
            <w:tcW w:w="850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3个</w:t>
            </w:r>
          </w:p>
        </w:tc>
        <w:tc>
          <w:tcPr>
            <w:tcW w:w="2146" w:type="dxa"/>
            <w:shd w:val="clear" w:color="auto" w:fill="F0F4F8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</w:rPr>
              <w:t>统一管理平台</w:t>
            </w:r>
          </w:p>
        </w:tc>
      </w:tr>
    </w:tbl>
    <w:p>
      <w:pPr>
        <w:rPr>
          <w:rFonts w:hint="eastAsia" w:ascii="宋体" w:hAnsi="宋体" w:eastAsia="宋体" w:cs="宋体"/>
          <w:color w:val="auto"/>
        </w:rPr>
      </w:pPr>
    </w:p>
    <w:p>
      <w:pPr>
        <w:pStyle w:val="4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</w:rPr>
        <w:t>.2 核心组件部署说明</w:t>
      </w:r>
    </w:p>
    <w:p>
      <w:pPr>
        <w:spacing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（1）防火墙：</w:t>
      </w:r>
      <w:r>
        <w:rPr>
          <w:rFonts w:ascii="宋体" w:hAnsi="宋体" w:eastAsia="宋体"/>
          <w:b w:val="0"/>
          <w:sz w:val="21"/>
        </w:rPr>
        <w:t>总带宽10100M（约10Gbps）。互联网出口配置5000M（收费网+综合业务双出口各2500M主备），收费网和综合业务内部区域边界各配置1500M，大数据区配置1000M，ETC发行区配置500M，政务预留区和安全运维区各配置300M，实现全区域严格隔离和精细化访问控制。</w:t>
      </w:r>
    </w:p>
    <w:p>
      <w:pPr>
        <w:spacing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（2）WAF：总带宽2000M，部署7个虚拟WAF实例。DMZ区部署2个（各500M）防护对外Web应用，内部应用区部署3个防护内部API和Web服务，ETC和政务区各部署1个防护对外接口。</w:t>
      </w:r>
    </w:p>
    <w:p>
      <w:pPr>
        <w:spacing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（3）IPS：总带宽2000M，部署5个虚拟IPS实例。互联网出口部署1000M入侵防御，收费网、综合业务、大数据核心服务器区各部署200-300M，运维区部署200M。</w:t>
      </w:r>
    </w:p>
    <w:p>
      <w:pPr>
        <w:spacing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（4）堡垒机：200台资产授权，部署在安全运维区，纳管全部核心服务器、数据库、网络设备和安全设备。所有运维操作必须通过堡垒机进行，实现统一身份认证、权限管控和操作审计。</w:t>
      </w:r>
    </w:p>
    <w:p>
      <w:pPr>
        <w:spacing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（5）零信任SDP：1000并发授权，网关部署在互联网区，控制器部署在安全运维区。覆盖远程办公500人、第三方运维200人、移动办公300人，实现基于身份的细粒度访问控制。</w:t>
      </w:r>
    </w:p>
    <w:p>
      <w:pPr>
        <w:pStyle w:val="3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32"/>
        </w:rPr>
        <w:t>方案总结</w:t>
      </w: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本方案基于等保三级要求，结合数字底座三网域物理架构，构建了"一个中心、三重防护"的纵深防御体系。11类安全组件全面覆盖网络边界、区域边界、计算环境和管理中心四个层面，97个安全点已精确分配到各区域各组件，预留3个安全点保障弹性扩展能力。方案具有合规达标、纵深防御、资源优化、统一管理、弹性扩展五大特点，可直接指导安全资源池的部署实施。</w:t>
      </w:r>
    </w:p>
    <w:p>
      <w:pPr>
        <w:pStyle w:val="3"/>
        <w:rPr>
          <w:rFonts w:hint="eastAsia" w:ascii="宋体" w:hAnsi="宋体" w:eastAsia="宋体" w:cs="宋体"/>
          <w:b/>
          <w:color w:val="auto"/>
          <w:sz w:val="36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lang w:val="en-US" w:eastAsia="zh-CN"/>
        </w:rPr>
        <w:t>2、多云管理平台</w:t>
      </w: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  <w:lang w:eastAsia="zh-CN"/>
        </w:rPr>
      </w:pPr>
      <w:r>
        <w:rPr>
          <w:rFonts w:hint="eastAsia" w:ascii="宋体" w:hAnsi="宋体" w:eastAsia="宋体" w:cs="宋体"/>
          <w:b w:val="0"/>
          <w:color w:val="auto"/>
          <w:sz w:val="21"/>
        </w:rPr>
        <w:t>1.提供包括云平台、超融合、裸金属服务器等多云管理，能够纳管多个资源池，对多个资源池提供统一运维服务，实现对各类资源对象的监控管理、调度管理、集中运维管理。在多云平台的基础上实现云资源的一体化监管、精细化运营。范围包括数据中心机房、收费站等吉高集团所属重要资源池。含3年运维服务。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含</w:t>
      </w:r>
      <w:r>
        <w:rPr>
          <w:rFonts w:hint="eastAsia" w:ascii="宋体" w:hAnsi="宋体" w:eastAsia="宋体" w:cs="宋体"/>
          <w:b w:val="0"/>
          <w:color w:val="auto"/>
          <w:sz w:val="21"/>
        </w:rPr>
        <w:t>48000个vCPU授权</w:t>
      </w:r>
      <w:r>
        <w:rPr>
          <w:rFonts w:hint="eastAsia" w:ascii="宋体" w:hAnsi="宋体" w:eastAsia="宋体" w:cs="宋体"/>
          <w:b w:val="0"/>
          <w:color w:val="auto"/>
          <w:sz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color w:val="auto"/>
          <w:sz w:val="21"/>
          <w:lang w:val="en-US" w:eastAsia="zh-CN"/>
        </w:rPr>
        <w:t>永久授权</w:t>
      </w:r>
      <w:r>
        <w:rPr>
          <w:rFonts w:hint="eastAsia" w:ascii="宋体" w:hAnsi="宋体" w:eastAsia="宋体" w:cs="宋体"/>
          <w:b w:val="0"/>
          <w:color w:val="auto"/>
          <w:sz w:val="21"/>
          <w:lang w:eastAsia="zh-CN"/>
        </w:rPr>
        <w:t>）。</w:t>
      </w:r>
    </w:p>
    <w:tbl>
      <w:tblPr>
        <w:tblW w:w="72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3259"/>
        <w:gridCol w:w="29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位置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云内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收费站超融合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智慧20台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底座超融合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浦东路（联想）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浦东路（曙光）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分子公司集群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按照冗余10%计算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48000 </w:t>
            </w:r>
          </w:p>
        </w:tc>
      </w:tr>
    </w:tbl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p>
      <w:pPr>
        <w:spacing w:after="60" w:line="360" w:lineRule="auto"/>
        <w:ind w:firstLine="420"/>
        <w:rPr>
          <w:rFonts w:hint="eastAsia" w:ascii="宋体" w:hAnsi="宋体" w:eastAsia="宋体" w:cs="宋体"/>
          <w:b w:val="0"/>
          <w:color w:val="auto"/>
          <w:sz w:val="21"/>
        </w:rPr>
      </w:pPr>
    </w:p>
    <w:sectPr>
      <w:pgSz w:w="12240" w:h="15840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4B274F48"/>
    <w:multiLevelType w:val="multilevel"/>
    <w:tmpl w:val="4B274F48"/>
    <w:lvl w:ilvl="0" w:tentative="0">
      <w:start w:val="1"/>
      <w:numFmt w:val="bullet"/>
      <w:lvlText w:val=""/>
      <w:lvlJc w:val="left"/>
      <w:pPr>
        <w:ind w:left="10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A57037"/>
    <w:rsid w:val="10D55FA1"/>
    <w:rsid w:val="29EA68B3"/>
    <w:rsid w:val="51114234"/>
    <w:rsid w:val="6805548C"/>
    <w:rsid w:val="738E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2423</Words>
  <Characters>2692</Characters>
  <Lines>0</Lines>
  <Paragraphs>0</Paragraphs>
  <TotalTime>135</TotalTime>
  <ScaleCrop>false</ScaleCrop>
  <LinksUpToDate>false</LinksUpToDate>
  <CharactersWithSpaces>2766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小马</cp:lastModifiedBy>
  <dcterms:modified xsi:type="dcterms:W3CDTF">2026-09-15T10:37:43Z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71940E5920464007978CEB3E67717699</vt:lpwstr>
  </property>
  <property fmtid="{D5CDD505-2E9C-101B-9397-08002B2CF9AE}" pid="4" name="KSOTemplateDocerSaveRecord">
    <vt:lpwstr>eyJoZGlkIjoiNjUxNTZjOWI2NjhhY2FkYmQ0Njc5N2VkYWFiYWRjMDIiLCJ1c2VySWQiOiIyMjA0ODU0In0=</vt:lpwstr>
  </property>
</Properties>
</file>