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89906"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</w:rPr>
        <w:t>车型识别单元（含控制器）</w:t>
      </w:r>
      <w:r>
        <w:rPr>
          <w:rFonts w:hint="eastAsia"/>
          <w:b/>
          <w:bCs/>
          <w:lang w:eastAsia="zh-CN"/>
        </w:rPr>
        <w:t>：</w:t>
      </w:r>
    </w:p>
    <w:p w14:paraId="428715CF">
      <w:pPr>
        <w:rPr>
          <w:rFonts w:hint="eastAsia"/>
          <w:b w:val="0"/>
          <w:bCs w:val="0"/>
          <w:lang w:eastAsia="zh-CN"/>
        </w:rPr>
      </w:pPr>
      <w:r>
        <w:rPr>
          <w:rFonts w:hint="eastAsia"/>
          <w:b w:val="0"/>
          <w:bCs w:val="0"/>
          <w:lang w:eastAsia="zh-CN"/>
        </w:rPr>
        <w:t>车头/车尾全景相机： 1/1.8" CMOS传感器； 视频帧率： 1～25fps@ H.265； 1～25fps@ H.264： 自动识别车型， 包括客1～客4、货1～货6、专项1～专项6， 车型分类符合JT/T489-2019《收费公路车辆通行费车型分类》标准； 车身颜色识别： 可按照GA/T 833-2016《机动车号牌图像自动识别技术规范》标准对车身颜色进行识别， 输出白、灰、黄、粉、紫、绿、蓝、红、棕、黑等车身颜色； 车辆特征识别： 支持自动识别车辆轴数、轴型、轮数等结构化特征； 特种车辆识别： 自动识别危险品运输车辆、冷链运输车辆等特种车辆； 车型识别准确率≥99%， 轮/轴数识别准确率≥99%， 车牌与车型匹配率≥99%， 危险品运输车辆识别准确率≥99%； 网口： 2个100/1000M自适应RJ45； 功耗≤35W； 工作温度：-40℃~+65℃。含机箱、电源、防护罩、摄像机、镜头、信号线、接地引线、电源线、安装支架、立柱及基础、补光灯等。与服务区原有卡口同址安装。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69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2026-06-03T09:16:43Z</dcterms:created>
  <dc:creator>16237</dc:creator>
  <cp:lastModifiedBy>十一点半</cp:lastModifiedBy>
  <dcterms:modified xsi:type="dcterms:W3CDTF">2026-06-03T09:17:08Z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eyJoZGlkIjoiYzBlNWI3YTk0MDllZWVlMTZjOWUwMzVlMzc4YjA2NDgiLCJ1c2VySWQiOiI1NzQxOTg2OTEifQ==</vt:lpwstr>
  </property>
  <property fmtid="{D5CDD505-2E9C-101B-9397-08002B2CF9AE}" pid="4" name="ICV">
    <vt:lpwstr>2BDBDA35D6A242ACBEB6A25DB0B2797A_12</vt:lpwstr>
  </property>
</Properties>
</file>