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420D1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permStart w:id="0" w:edGrp="everyone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技术</w:t>
      </w: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指标</w:t>
      </w:r>
    </w:p>
    <w:p w14:paraId="3A57D0F7">
      <w:pPr>
        <w:rPr>
          <w:rFonts w:hint="eastAsia" w:ascii="宋体" w:hAnsi="宋体" w:eastAsia="宋体" w:cs="宋体"/>
        </w:rPr>
      </w:pPr>
    </w:p>
    <w:p w14:paraId="08023C1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对密涿高速公路新增白庄子服务型互通机电工程主线桩号K4+960、K5+070一对ETC门架和三河北收费站等位置进行网络安全检测，并出具有效的合格的检测报告。</w:t>
      </w:r>
    </w:p>
    <w:p w14:paraId="3DEEA3C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其他要求如下：</w:t>
      </w:r>
    </w:p>
    <w:p w14:paraId="55FF1AF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1204-14外场门架网络安全检测</w:t>
      </w:r>
    </w:p>
    <w:p w14:paraId="6C373E7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本项目实施完成后，需进行网络安全测评，满足设置要求。相关要求如下：</w:t>
      </w:r>
    </w:p>
    <w:p w14:paraId="3D85988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ETC 门架系统参照《联网收费系统省域系统并网接入网络安全基本技术要求》在安全通信网络、安全区域边界及安全计算环境方案的三级安全保护要求。</w:t>
      </w:r>
    </w:p>
    <w:p w14:paraId="714A5DD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（1）安全物理环境</w:t>
      </w:r>
    </w:p>
    <w:p w14:paraId="077421F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ETC 门架系统应尽量减少部署在室外的设备种类和数量，可将计算设备布设在具有温湿度控制、防盗防破坏条件的室内场所，并通过有线通信网络与室外设备连接。应远离强电磁干扰环境，避免对ETC 门架系统设备的正常工作造成影响。</w:t>
      </w:r>
    </w:p>
    <w:p w14:paraId="1546D4A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布设RSU、高清车牌视频识别等前端设备的门架严禁非授权人员攀登。应将ETC 门架系统的车道控制器、通信设备、供电设备等放置在机柜内，设备及主要部件须进行固定，并设置明显的不易除去的标记。</w:t>
      </w:r>
    </w:p>
    <w:p w14:paraId="4BD58F6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室外机柜应具备硬件防盗设计，柜体无裸露可拆卸部件，保障柜体难以从外部撬开。应具备防护、防水、防潮、防尘和温湿度控制等措施，可通过电子门锁、视频监控、设备状态监测等手段等手段对箱体开启情况进行监控记录，及时发现设备的丢失、损坏等异常状态。根据现场位置情况，设置户外综合机柜监控摄像机。</w:t>
      </w:r>
    </w:p>
    <w:p w14:paraId="6C94AE2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室外机柜内部应集成防雷和接地保护装置，具备防雷击和防浪涌冲击的能力。应配备备用电力供应，保证ETC 门架系统的持续电力供应，确保ETC 门架系统24 小时不间断工作。</w:t>
      </w:r>
    </w:p>
    <w:p w14:paraId="7BCFA28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（2）安全通信网络</w:t>
      </w:r>
    </w:p>
    <w:p w14:paraId="7DD1163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ETC 门架相关通信设备的业务处理能力具备冗余空间，满足业务高峰期需要。</w:t>
      </w:r>
    </w:p>
    <w:p w14:paraId="14D1E35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应保证与部联网中心、省联网收费结算中心的传输线路网络带宽满足业务高峰期需要。</w:t>
      </w:r>
    </w:p>
    <w:p w14:paraId="6B92FFD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按照便捷管理和集约管理原则为各网络区域分配地址，应通过有效措施对各网络区域进行技术隔离。</w:t>
      </w:r>
    </w:p>
    <w:p w14:paraId="6BC159E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ETC 门架系统和省联网收费结算中心、部联网中心的通信传输应提供链路冗余，本项目采用VLAN、防火墙等技术手段，实现区域间隔离。</w:t>
      </w:r>
    </w:p>
    <w:p w14:paraId="50EE30E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采用校验技术保证与部联网中心、省联网收费结算中心通信过程中的数据完整性。</w:t>
      </w:r>
    </w:p>
    <w:p w14:paraId="3E80648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采用密码技术保证与部联网中心、省联网收费结算中心通信过程中的保密性。</w:t>
      </w:r>
    </w:p>
    <w:p w14:paraId="3E8416F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密码算法应符合国家密码管理局相关规范要求。</w:t>
      </w:r>
    </w:p>
    <w:p w14:paraId="7B148D8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（3）安全区域边界</w:t>
      </w:r>
    </w:p>
    <w:p w14:paraId="25125F7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在每处ETC 门架系统设置一套安全接入防护设备，具备防火墙、入侵防御、入侵检测等功能，实现边界防护、访问控制、入侵防范等区域边界安全要求，保证跨越网络区域边界的访问和数据流受控接口进行通信，可在关键网络节点处检测网络攻击行为。</w:t>
      </w:r>
    </w:p>
    <w:p w14:paraId="2E8EE09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（4）安全计算环境</w:t>
      </w:r>
    </w:p>
    <w:p w14:paraId="4CAADCD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应通过采用HTTPS 或SSH 等安全通信协议，配置交换机访问控制列表，开启边界防护设备日志审计功能，完善相关设备安全策略，安装恶意代码防范软件，应用软件幵发实现数据完整性、保密性，数据本地存储或传输至路段中心等措施，实现身份鉴别、入侵防范、访问控制、恶意代码防范、数据完整性、数据保密性和数据可用性等计算环境安全要求。</w:t>
      </w:r>
    </w:p>
    <w:p w14:paraId="609014F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（5）物联网安全扩展</w:t>
      </w:r>
    </w:p>
    <w:p w14:paraId="602D9ED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ETC 门架系统的关键设备（RSU、车牌图像识别设备等）应通过部署接入安全接入防护设备实现IP/MAC 地址等属性信息注册管理，实现与省联网收费结算中心之间基于交通运输行业证书的接入控制。ETC 门架系统设备应支持远程集中管控。</w:t>
      </w:r>
    </w:p>
    <w:p w14:paraId="62178C69">
      <w:pPr>
        <w:rPr>
          <w:rFonts w:hint="eastAsia" w:ascii="宋体" w:hAnsi="宋体" w:eastAsia="宋体" w:cs="宋体"/>
        </w:rPr>
      </w:pPr>
    </w:p>
    <w:p w14:paraId="39A9E22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1205-17 网络安全测评</w:t>
      </w:r>
    </w:p>
    <w:p w14:paraId="6A04DF4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本项目实施完成后，需进行网络安全测评，满足设置要求。相关要求如下：</w:t>
      </w:r>
    </w:p>
    <w:p w14:paraId="3C712A0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收费站参照网络安全等级保护中在安全通信网络、安全区域边界及安全计算环境方案的三级安全保护要求，同时综合考虑安全物理环境的要求。</w:t>
      </w:r>
    </w:p>
    <w:p w14:paraId="598667C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(1)安全通信网络</w:t>
      </w:r>
    </w:p>
    <w:p w14:paraId="272306E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收费站与部联网中心、省联网收费结算中心、路段分中心等传输线路网络带宽满足业务高峰期需要。</w:t>
      </w:r>
    </w:p>
    <w:p w14:paraId="12A456F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采用校验技术保证与部联网中心、省联网收费结算中心、路段分中心通信过程中的数据完整性。</w:t>
      </w:r>
    </w:p>
    <w:p w14:paraId="39CC37C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采用密码技术保证与部联网中心、省联网收费结算中心、路段分中心通信过程中的保密性。密码算法应符合国家密码管理局相关规范要求。</w:t>
      </w:r>
    </w:p>
    <w:p w14:paraId="1DCE3DD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(2)安全区域边界</w:t>
      </w:r>
    </w:p>
    <w:p w14:paraId="72F36D2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收费站部署边界防火墙，并配置细粒度的基于地址、协议和端口级的访问控制策略，实现对区域边界信息内容的过滤和访问控制功能，同时启用入侵防御/防病毒功能，实现阻止针对内部的恶意攻击和探测功能，以及对恶意代码的检测和清除功能。</w:t>
      </w:r>
    </w:p>
    <w:p w14:paraId="08D39F0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(3)安全计算环境</w:t>
      </w:r>
    </w:p>
    <w:p w14:paraId="3C1CF6F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设置入侵检测系统，对恶意代码进行检测和清除；在服务器、终端等安装防病毒软件，对防恶意代码库进行定期升级和更新，对入侵和病毒行为进行发现、识别、阻断，实现对恶意代码的防范；配置网络审计，实现对用户网络行为进行审计；配置安全接入防护设备，实现设备IP/MAC地址等属性信息注册管理，设备通信地址管控，设备访问权限控制和设备远程安全管理等物联网扩展安全要求。</w:t>
      </w:r>
    </w:p>
    <w:p w14:paraId="58A903DA">
      <w:pPr>
        <w:rPr>
          <w:b/>
        </w:rPr>
      </w:pPr>
      <w:r>
        <w:rPr>
          <w:rFonts w:hint="eastAsia" w:ascii="宋体" w:hAnsi="宋体" w:eastAsia="宋体" w:cs="宋体"/>
        </w:rPr>
        <w:t>本项目现有路段分中心共用堡垒机，本项目只负责相关接入及联调工作。</w:t>
      </w:r>
    </w:p>
    <w:permEnd w:id="0"/>
    <w:p w14:paraId="65A2FF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84AE3"/>
    <w:rsid w:val="72F5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1849</Words>
  <Characters>1925</Characters>
  <Lines>0</Lines>
  <Paragraphs>0</Paragraphs>
  <TotalTime>0</TotalTime>
  <ScaleCrop>false</ScaleCrop>
  <LinksUpToDate>false</LinksUpToDate>
  <CharactersWithSpaces>1941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2025-01-17T01:53:00Z</dcterms:created>
  <dc:creator>Administrator</dc:creator>
  <cp:lastModifiedBy>张黎海</cp:lastModifiedBy>
  <dcterms:modified xsi:type="dcterms:W3CDTF">2025-01-17T03:43:43Z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eyJoZGlkIjoiODFhMmI1NzhiZGE3NjMwZGMzMDNlNDRmOGZjM2UzMTciLCJ1c2VySWQiOiI1NDg1ODY0NDMifQ==</vt:lpwstr>
  </property>
  <property fmtid="{D5CDD505-2E9C-101B-9397-08002B2CF9AE}" pid="4" name="ICV">
    <vt:lpwstr>3C9BEABC9DF647049DA6F61FF7A687D3_13</vt:lpwstr>
  </property>
</Properties>
</file>