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left"/>
        <w:textAlignment w:val="auto"/>
        <w:rPr>
          <w:rFonts w:hint="eastAsia" w:ascii="宋体" w:hAnsi="宋体" w:eastAsia="宋体" w:cs="宋体"/>
          <w:b/>
          <w:bCs/>
          <w:sz w:val="28"/>
          <w:szCs w:val="28"/>
          <w:lang w:val="en-US" w:eastAsia="zh-CN"/>
        </w:rPr>
      </w:pPr>
      <w:r>
        <w:rPr>
          <w:rFonts w:hint="eastAsia" w:ascii="宋体" w:hAnsi="宋体" w:eastAsia="宋体" w:cs="宋体"/>
          <w:b/>
          <w:bCs/>
          <w:sz w:val="24"/>
          <w:szCs w:val="24"/>
          <w:lang w:val="en-US" w:eastAsia="zh-CN"/>
        </w:rPr>
        <w:t>本次采购含:窄条称、称重控制器、红外线光幕等附件，含土建施工，安装调试，首次计量检定费;</w:t>
      </w:r>
      <w:bookmarkStart w:id="0" w:name="_GoBack"/>
      <w:bookmarkEnd w:id="0"/>
      <w:r>
        <w:rPr>
          <w:rFonts w:hint="eastAsia" w:ascii="宋体" w:hAnsi="宋体" w:eastAsia="宋体" w:cs="宋体"/>
          <w:b/>
          <w:bCs/>
          <w:sz w:val="24"/>
          <w:szCs w:val="24"/>
          <w:lang w:val="en-US" w:eastAsia="zh-CN"/>
        </w:rPr>
        <w:t>质保为交工验收后5年</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b/>
          <w:bCs/>
          <w:sz w:val="28"/>
          <w:szCs w:val="28"/>
          <w:lang w:val="en-US" w:eastAsia="zh-CN"/>
        </w:rPr>
        <w:t>窄条式称技术参数</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系统由称重传感器、车辆分离器、采集控制器机柜及配套线缆组成。</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1.1 称重传感器 </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双承载器方式采集到充分的重量信息，可以有效遏制计重车辆走S形过秤、跳秤、刹秤、冲秤、压边过秤等非正常行驶行为。</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系统参数：</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最大称量: </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0t    最小称量：1t   静态称重精度： 0IML级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动态精度：5级  ±2.5%   速度范围:0.5～100km/h</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货车车辆捕获率：≥99.9%   过载能力（轴载）：≥200%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MTBF≥20000小时   防护等级：IP68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温度范围：-45℃～+80℃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1.2 信号采集控制器</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是整个系统的控制装置，由称重数据采集和处理单元、控制和接口单元、电源单元、电缆接线、仪表等构成。主要含AC/DC电源转换板、CPU处理板、称重平台传感器信号处理板、DIP线圈处理板、I/O接口板以及防电涌、防雷和防电磁辐射的装置，报警装置等模块。称重平台传感器、车辆分离器等采集的检测信号、工作状态信号和故障信息全部传入称重数据采集器，由称重数据采集器综合分析、处理、计算形成一个完整的整车的称重信息，包括车辆的轴重、轴组重、整车重、轴型、车速、每轴的胎数、总重、时间等数据，并通过标准串行接口以符合联网软件要求的形式上传给车道收费计算机。仪表内置车型判别、车辆分离的容错功能，对车辆倒车、半倒车、走S型、点刹车等复杂多变的行驶状态，能自动检测并报告车辆异常行为，保证车辆和检测数据一一对应。</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1.3 车辆分离器</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车辆分离器安装于称重平台前方单侧路边，连续激光扫描，能安全消除跟车现象，保证称重检测数据与车辆的一一对应关系。不受阳光、雨、雪、雾的干扰，能安全消除跟车现象，当两辆车之间间隔较近、同时在计重区域内行驶或者车流量大、车辆排队、有车辆停止于计重区域的，分离器均可以保证称重检测数据与车辆的一一对应关系。</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在良好天气时，车辆分离判断正确率达到99.9％以上；</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在恶劣天气时，车辆分离判断正确率不小于99.5％；</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最小检测物体尺寸：30mm；</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两车可分离最小间距：100mm；</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工作环境：温度范围： -40℃～+80℃，相对湿度范围：0～95%RH；</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A45599"/>
    <w:rsid w:val="1AA45599"/>
    <w:rsid w:val="260007D4"/>
    <w:rsid w:val="4B8B32C0"/>
    <w:rsid w:val="658F17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831</Words>
  <Characters>907</Characters>
  <Lines>0</Lines>
  <Paragraphs>0</Paragraphs>
  <TotalTime>4</TotalTime>
  <ScaleCrop>false</ScaleCrop>
  <LinksUpToDate>false</LinksUpToDate>
  <CharactersWithSpaces>937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2025-04-22T02:01:00Z</dcterms:created>
  <dc:creator>࿄࿅࿆</dc:creator>
  <cp:lastModifiedBy>tianl</cp:lastModifiedBy>
  <dcterms:modified xsi:type="dcterms:W3CDTF">2025-04-22T05:38:52Z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A827E987CE964148A9AB44818404AE39</vt:lpwstr>
  </property>
  <property fmtid="{D5CDD505-2E9C-101B-9397-08002B2CF9AE}" pid="4" name="KSOTemplateDocerSaveRecord">
    <vt:lpwstr>eyJoZGlkIjoiYzQ0M2FkOTZmZjIzYjhmMGUwMzQ4MGY1NDFmYTQ2ZDkiLCJ1c2VySWQiOiIzMzEwNTc0NjQifQ==</vt:lpwstr>
  </property>
</Properties>
</file>