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宋体" w:hAnsi="宋体" w:eastAsia="宋体"/>
          <w:sz w:val="52"/>
          <w:szCs w:val="52"/>
        </w:rPr>
      </w:pPr>
      <w:r>
        <w:rPr>
          <w:rFonts w:hint="eastAsia" w:ascii="宋体" w:hAnsi="宋体" w:eastAsia="宋体"/>
          <w:sz w:val="52"/>
          <w:szCs w:val="52"/>
        </w:rPr>
        <w:t>需求说明文档</w:t>
      </w:r>
    </w:p>
    <w:p>
      <w:pPr>
        <w:pStyle w:val="2"/>
        <w:rPr>
          <w:rFonts w:ascii="宋体" w:hAnsi="宋体" w:eastAsia="宋体"/>
          <w:color w:val="auto"/>
        </w:rPr>
      </w:pPr>
      <w:r>
        <w:rPr>
          <w:rFonts w:hint="eastAsia" w:ascii="宋体" w:hAnsi="宋体" w:eastAsia="宋体"/>
          <w:color w:val="auto"/>
        </w:rPr>
        <w:t>大屏信息展示系统</w:t>
      </w:r>
    </w:p>
    <w:p>
      <w:pPr>
        <w:rPr>
          <w:rFonts w:hint="eastAsia" w:ascii="宋体" w:hAnsi="宋体" w:eastAsia="宋体"/>
          <w:sz w:val="24"/>
          <w:szCs w:val="24"/>
        </w:rPr>
      </w:pPr>
      <w:r>
        <w:rPr>
          <w:rFonts w:hint="eastAsia" w:ascii="宋体" w:hAnsi="宋体" w:eastAsia="宋体"/>
          <w:sz w:val="24"/>
          <w:szCs w:val="24"/>
        </w:rPr>
        <w:t>使用大屏后台管理系统所维护的用户进行登录，登录后点击右上角箭头可以切换至全屏显示。</w:t>
      </w:r>
    </w:p>
    <w:p>
      <w:pPr>
        <w:pStyle w:val="3"/>
        <w:rPr>
          <w:rFonts w:ascii="宋体" w:hAnsi="宋体" w:eastAsia="宋体"/>
          <w:color w:val="auto"/>
          <w:sz w:val="36"/>
          <w:szCs w:val="36"/>
        </w:rPr>
      </w:pPr>
      <w:r>
        <w:rPr>
          <w:rFonts w:hint="eastAsia" w:ascii="宋体" w:hAnsi="宋体" w:eastAsia="宋体"/>
          <w:color w:val="auto"/>
          <w:sz w:val="36"/>
          <w:szCs w:val="36"/>
        </w:rPr>
        <w:t>路网图</w:t>
      </w:r>
    </w:p>
    <w:p>
      <w:pPr>
        <w:spacing w:line="360" w:lineRule="auto"/>
        <w:rPr>
          <w:rFonts w:ascii="宋体" w:hAnsi="宋体" w:eastAsia="宋体"/>
          <w:sz w:val="24"/>
          <w:szCs w:val="24"/>
        </w:rPr>
      </w:pPr>
      <w:r>
        <w:rPr>
          <w:rFonts w:hint="eastAsia" w:ascii="宋体" w:hAnsi="宋体" w:eastAsia="宋体"/>
          <w:sz w:val="24"/>
          <w:szCs w:val="24"/>
        </w:rPr>
        <w:t>显示吉林省路网图，包含各个分公司及其负责地区，可通过鼠标滚轮对地图进行缩放。各分公司使用不同颜色进行标注和区分，并在右侧提供各公司与其颜色的参照。各个地区使用蓝色圆圈进行标注，地区所属门架或收费站出现故障时，所属地区变为红色圆圈。点击任意地区，会出现当前地区的信息，包含所属分公司，下属门架和收费站及其状态：正常和故障。</w:t>
      </w:r>
    </w:p>
    <w:p>
      <w:pPr>
        <w:pStyle w:val="3"/>
        <w:rPr>
          <w:rFonts w:ascii="宋体" w:hAnsi="宋体" w:eastAsia="宋体"/>
          <w:color w:val="auto"/>
          <w:sz w:val="36"/>
          <w:szCs w:val="36"/>
        </w:rPr>
      </w:pPr>
      <w:r>
        <w:rPr>
          <w:rFonts w:hint="eastAsia" w:ascii="宋体" w:hAnsi="宋体" w:eastAsia="宋体"/>
          <w:color w:val="auto"/>
          <w:sz w:val="36"/>
          <w:szCs w:val="36"/>
        </w:rPr>
        <w:t>维修记录</w:t>
      </w:r>
    </w:p>
    <w:p>
      <w:pPr>
        <w:spacing w:line="360" w:lineRule="auto"/>
        <w:rPr>
          <w:rFonts w:ascii="宋体" w:hAnsi="宋体" w:eastAsia="宋体"/>
          <w:sz w:val="24"/>
          <w:szCs w:val="24"/>
        </w:rPr>
      </w:pPr>
      <w:r>
        <w:rPr>
          <w:rFonts w:hint="eastAsia" w:ascii="宋体" w:hAnsi="宋体" w:eastAsia="宋体"/>
          <w:sz w:val="24"/>
          <w:szCs w:val="24"/>
        </w:rPr>
        <w:t>最上方显示所有故障的年份信息，点击年份即可筛选对应年份的维修记录。维修记录列表包含序号、设备故障类型、重点标注、分公司、收费站（地区）、所属位置（门架）、保修日期、修复日期、故障表象、处理步骤。可以使用上述任意条件进行筛选，也可以多选一个或多个条件。最下方选择每页信息数量，选择页数，也可以输入页数跳转到制定页数。</w:t>
      </w:r>
    </w:p>
    <w:p>
      <w:pPr>
        <w:pStyle w:val="3"/>
        <w:rPr>
          <w:rFonts w:ascii="宋体" w:hAnsi="宋体" w:eastAsia="宋体"/>
          <w:color w:val="auto"/>
          <w:sz w:val="36"/>
          <w:szCs w:val="36"/>
        </w:rPr>
      </w:pPr>
      <w:r>
        <w:rPr>
          <w:rFonts w:hint="eastAsia" w:ascii="宋体" w:hAnsi="宋体" w:eastAsia="宋体"/>
          <w:color w:val="auto"/>
          <w:sz w:val="36"/>
          <w:szCs w:val="36"/>
        </w:rPr>
        <w:t>总结图表</w:t>
      </w:r>
    </w:p>
    <w:p>
      <w:pPr>
        <w:spacing w:line="360" w:lineRule="auto"/>
        <w:rPr>
          <w:rFonts w:ascii="宋体" w:hAnsi="宋体" w:eastAsia="宋体"/>
          <w:sz w:val="24"/>
          <w:szCs w:val="24"/>
        </w:rPr>
      </w:pPr>
      <w:r>
        <w:rPr>
          <w:rFonts w:hint="eastAsia" w:ascii="宋体" w:hAnsi="宋体" w:eastAsia="宋体"/>
          <w:sz w:val="24"/>
          <w:szCs w:val="24"/>
        </w:rPr>
        <w:t>总结图表页面分为四个部分。</w:t>
      </w:r>
    </w:p>
    <w:p>
      <w:pPr>
        <w:spacing w:line="360" w:lineRule="auto"/>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 xml:space="preserve">. </w:t>
      </w:r>
      <w:r>
        <w:rPr>
          <w:rFonts w:hint="eastAsia" w:ascii="宋体" w:hAnsi="宋体" w:eastAsia="宋体"/>
          <w:sz w:val="24"/>
          <w:szCs w:val="24"/>
        </w:rPr>
        <w:t>左上部分为</w:t>
      </w:r>
      <w:r>
        <w:rPr>
          <w:rFonts w:ascii="宋体" w:hAnsi="宋体" w:eastAsia="宋体"/>
          <w:sz w:val="24"/>
          <w:szCs w:val="24"/>
        </w:rPr>
        <w:t>各分公司故障恢复情况</w:t>
      </w:r>
      <w:r>
        <w:rPr>
          <w:rFonts w:hint="eastAsia" w:ascii="宋体" w:hAnsi="宋体" w:eastAsia="宋体"/>
          <w:sz w:val="24"/>
          <w:szCs w:val="24"/>
        </w:rPr>
        <w:t>。选择任意公司，显示对应公司的待办数量、故障总户数、完成率。待办数量的详细信息显示为剩余任务，以饼状图显示出故障分类及其数量。同样的，也可以通过维修记录的年份使用年份筛选数据。</w:t>
      </w:r>
    </w:p>
    <w:p>
      <w:pPr>
        <w:spacing w:line="360" w:lineRule="auto"/>
        <w:rPr>
          <w:rFonts w:ascii="宋体" w:hAnsi="宋体" w:eastAsia="宋体"/>
          <w:sz w:val="24"/>
          <w:szCs w:val="24"/>
        </w:rPr>
      </w:pPr>
      <w:r>
        <w:rPr>
          <w:rFonts w:hint="eastAsia" w:ascii="宋体" w:hAnsi="宋体" w:eastAsia="宋体"/>
          <w:sz w:val="24"/>
          <w:szCs w:val="24"/>
        </w:rPr>
        <w:t>2. 右上部分为</w:t>
      </w:r>
      <w:r>
        <w:rPr>
          <w:rFonts w:ascii="宋体" w:hAnsi="宋体" w:eastAsia="宋体"/>
          <w:sz w:val="24"/>
          <w:szCs w:val="24"/>
        </w:rPr>
        <w:t>设备故障名称统计</w:t>
      </w:r>
      <w:r>
        <w:rPr>
          <w:rFonts w:hint="eastAsia" w:ascii="宋体" w:hAnsi="宋体" w:eastAsia="宋体"/>
          <w:sz w:val="24"/>
          <w:szCs w:val="24"/>
        </w:rPr>
        <w:t>，使用饼状图进行显示。故障总数显示在中间，饼状图显示所有公司总计的故障分类及对应故障数量和占故障总数的百分比。同时也可以根据以往维修记录的年份，选择年份进行筛选。</w:t>
      </w:r>
    </w:p>
    <w:p>
      <w:pPr>
        <w:spacing w:line="360" w:lineRule="auto"/>
        <w:rPr>
          <w:rFonts w:ascii="宋体" w:hAnsi="宋体" w:eastAsia="宋体"/>
          <w:sz w:val="24"/>
          <w:szCs w:val="24"/>
        </w:rPr>
      </w:pPr>
      <w:r>
        <w:rPr>
          <w:rFonts w:hint="eastAsia" w:ascii="宋体" w:hAnsi="宋体" w:eastAsia="宋体"/>
          <w:sz w:val="24"/>
          <w:szCs w:val="24"/>
        </w:rPr>
        <w:t>3</w:t>
      </w:r>
      <w:r>
        <w:rPr>
          <w:rFonts w:ascii="宋体" w:hAnsi="宋体" w:eastAsia="宋体"/>
          <w:sz w:val="24"/>
          <w:szCs w:val="24"/>
        </w:rPr>
        <w:t xml:space="preserve">. </w:t>
      </w:r>
      <w:r>
        <w:rPr>
          <w:rFonts w:hint="eastAsia" w:ascii="宋体" w:hAnsi="宋体" w:eastAsia="宋体"/>
          <w:sz w:val="24"/>
          <w:szCs w:val="24"/>
        </w:rPr>
        <w:t>左下部分为</w:t>
      </w:r>
      <w:r>
        <w:rPr>
          <w:rFonts w:ascii="宋体" w:hAnsi="宋体" w:eastAsia="宋体"/>
          <w:sz w:val="24"/>
          <w:szCs w:val="24"/>
        </w:rPr>
        <w:t>各分公司事故发生趋势</w:t>
      </w:r>
      <w:r>
        <w:rPr>
          <w:rFonts w:hint="eastAsia" w:ascii="宋体" w:hAnsi="宋体" w:eastAsia="宋体"/>
          <w:sz w:val="24"/>
          <w:szCs w:val="24"/>
        </w:rPr>
        <w:t>，采用折线图显示信息，横坐标为年月，纵坐标为故障次数。各公司采用不同颜色线条，点击任意公司的颜色，可显示/隐藏对应公司。鼠标悬停或点击横坐标上的某个年月，例如2</w:t>
      </w:r>
      <w:r>
        <w:rPr>
          <w:rFonts w:ascii="宋体" w:hAnsi="宋体" w:eastAsia="宋体"/>
          <w:sz w:val="24"/>
          <w:szCs w:val="24"/>
        </w:rPr>
        <w:t>3-6</w:t>
      </w:r>
      <w:r>
        <w:rPr>
          <w:rFonts w:hint="eastAsia" w:ascii="宋体" w:hAnsi="宋体" w:eastAsia="宋体"/>
          <w:sz w:val="24"/>
          <w:szCs w:val="24"/>
        </w:rPr>
        <w:t>，即可显示2</w:t>
      </w:r>
      <w:r>
        <w:rPr>
          <w:rFonts w:ascii="宋体" w:hAnsi="宋体" w:eastAsia="宋体"/>
          <w:sz w:val="24"/>
          <w:szCs w:val="24"/>
        </w:rPr>
        <w:t>023</w:t>
      </w:r>
      <w:r>
        <w:rPr>
          <w:rFonts w:hint="eastAsia" w:ascii="宋体" w:hAnsi="宋体" w:eastAsia="宋体"/>
          <w:sz w:val="24"/>
          <w:szCs w:val="24"/>
        </w:rPr>
        <w:t>年6月各个公司的故障数量。</w:t>
      </w:r>
    </w:p>
    <w:p>
      <w:pPr>
        <w:spacing w:line="360" w:lineRule="auto"/>
        <w:rPr>
          <w:rFonts w:ascii="宋体" w:hAnsi="宋体" w:eastAsia="宋体"/>
          <w:sz w:val="24"/>
          <w:szCs w:val="24"/>
        </w:rPr>
      </w:pPr>
      <w:r>
        <w:rPr>
          <w:rFonts w:hint="eastAsia" w:ascii="宋体" w:hAnsi="宋体" w:eastAsia="宋体"/>
          <w:sz w:val="24"/>
          <w:szCs w:val="24"/>
        </w:rPr>
        <w:t>4</w:t>
      </w:r>
      <w:r>
        <w:rPr>
          <w:rFonts w:ascii="宋体" w:hAnsi="宋体" w:eastAsia="宋体"/>
          <w:sz w:val="24"/>
          <w:szCs w:val="24"/>
        </w:rPr>
        <w:t xml:space="preserve">. </w:t>
      </w:r>
      <w:r>
        <w:rPr>
          <w:rFonts w:hint="eastAsia" w:ascii="宋体" w:hAnsi="宋体" w:eastAsia="宋体"/>
          <w:sz w:val="24"/>
          <w:szCs w:val="24"/>
        </w:rPr>
        <w:t>右下部分为</w:t>
      </w:r>
      <w:r>
        <w:rPr>
          <w:rFonts w:ascii="宋体" w:hAnsi="宋体" w:eastAsia="宋体"/>
          <w:sz w:val="24"/>
          <w:szCs w:val="24"/>
        </w:rPr>
        <w:t>各分公司事故发生次数统计</w:t>
      </w:r>
      <w:r>
        <w:rPr>
          <w:rFonts w:hint="eastAsia" w:ascii="宋体" w:hAnsi="宋体" w:eastAsia="宋体"/>
          <w:sz w:val="24"/>
          <w:szCs w:val="24"/>
        </w:rPr>
        <w:t>，以年为单位使用，柱状图显示信息，横坐标为各个公司，纵坐标为故障总数。可以通过以往的维修记录的年份，对图表显示信息筛选，鼠标悬停到任意公司的柱状图，可以显示该公司每年的故障总数。</w:t>
      </w:r>
    </w:p>
    <w:p>
      <w:pPr>
        <w:pStyle w:val="2"/>
        <w:rPr>
          <w:rFonts w:ascii="宋体" w:hAnsi="宋体" w:eastAsia="宋体"/>
          <w:color w:val="auto"/>
        </w:rPr>
      </w:pPr>
      <w:r>
        <w:rPr>
          <w:rFonts w:ascii="宋体" w:hAnsi="宋体" w:eastAsia="宋体"/>
          <w:color w:val="auto"/>
        </w:rPr>
        <w:t>大屏后台管理系统</w:t>
      </w:r>
    </w:p>
    <w:p>
      <w:pPr>
        <w:spacing w:line="360" w:lineRule="auto"/>
        <w:rPr>
          <w:rFonts w:hint="eastAsia" w:ascii="宋体" w:hAnsi="宋体" w:eastAsia="宋体"/>
          <w:sz w:val="24"/>
          <w:szCs w:val="24"/>
        </w:rPr>
      </w:pPr>
      <w:r>
        <w:rPr>
          <w:rFonts w:hint="eastAsia" w:ascii="宋体" w:hAnsi="宋体" w:eastAsia="宋体"/>
          <w:sz w:val="24"/>
          <w:szCs w:val="24"/>
        </w:rPr>
        <w:t>根据运维账号的所属公司不同，对每个运维账号所接触的数据进行数据隔离；同时根据每个运维账号的身份不同，对每个账号所拥有的权限进行权限隔离。通过以上方式，确保系统的安全和数据的安全。</w:t>
      </w:r>
    </w:p>
    <w:p>
      <w:pPr>
        <w:pStyle w:val="3"/>
        <w:rPr>
          <w:rFonts w:ascii="宋体" w:hAnsi="宋体" w:eastAsia="宋体"/>
          <w:color w:val="auto"/>
          <w:sz w:val="36"/>
          <w:szCs w:val="36"/>
        </w:rPr>
      </w:pPr>
      <w:r>
        <w:rPr>
          <w:rFonts w:hint="eastAsia" w:ascii="宋体" w:hAnsi="宋体" w:eastAsia="宋体"/>
          <w:color w:val="auto"/>
          <w:sz w:val="36"/>
          <w:szCs w:val="36"/>
        </w:rPr>
        <w:t>基础信息管理</w:t>
      </w:r>
    </w:p>
    <w:p>
      <w:pPr>
        <w:pStyle w:val="4"/>
        <w:rPr>
          <w:rFonts w:ascii="宋体" w:hAnsi="宋体" w:eastAsia="宋体"/>
          <w:color w:val="auto"/>
          <w:sz w:val="30"/>
          <w:szCs w:val="30"/>
        </w:rPr>
      </w:pPr>
      <w:r>
        <w:rPr>
          <w:rFonts w:hint="eastAsia" w:ascii="宋体" w:hAnsi="宋体" w:eastAsia="宋体"/>
          <w:color w:val="auto"/>
          <w:sz w:val="30"/>
          <w:szCs w:val="30"/>
        </w:rPr>
        <w:t>公司管理</w:t>
      </w:r>
    </w:p>
    <w:p>
      <w:pPr>
        <w:spacing w:line="360" w:lineRule="auto"/>
        <w:rPr>
          <w:rFonts w:ascii="宋体" w:hAnsi="宋体" w:eastAsia="宋体"/>
          <w:sz w:val="24"/>
          <w:szCs w:val="24"/>
        </w:rPr>
      </w:pPr>
      <w:r>
        <w:rPr>
          <w:rFonts w:hint="eastAsia" w:ascii="宋体" w:hAnsi="宋体" w:eastAsia="宋体"/>
          <w:sz w:val="24"/>
          <w:szCs w:val="24"/>
        </w:rPr>
        <w:t>对各个分公司的信息进行管理和维护，包含基本的增加、删除、修改、查询功能。</w:t>
      </w:r>
    </w:p>
    <w:p>
      <w:pPr>
        <w:pStyle w:val="4"/>
        <w:rPr>
          <w:rFonts w:ascii="宋体" w:hAnsi="宋体" w:eastAsia="宋体"/>
          <w:color w:val="auto"/>
          <w:sz w:val="30"/>
          <w:szCs w:val="30"/>
        </w:rPr>
      </w:pPr>
      <w:r>
        <w:rPr>
          <w:rFonts w:hint="eastAsia" w:ascii="宋体" w:hAnsi="宋体" w:eastAsia="宋体"/>
          <w:color w:val="auto"/>
          <w:sz w:val="30"/>
          <w:szCs w:val="30"/>
        </w:rPr>
        <w:t>地区管理</w:t>
      </w:r>
    </w:p>
    <w:p>
      <w:pPr>
        <w:spacing w:line="360" w:lineRule="auto"/>
        <w:rPr>
          <w:rFonts w:ascii="宋体" w:hAnsi="宋体" w:eastAsia="宋体"/>
          <w:sz w:val="24"/>
          <w:szCs w:val="24"/>
        </w:rPr>
      </w:pPr>
      <w:r>
        <w:rPr>
          <w:rFonts w:hint="eastAsia" w:ascii="宋体" w:hAnsi="宋体" w:eastAsia="宋体"/>
          <w:sz w:val="24"/>
          <w:szCs w:val="24"/>
        </w:rPr>
        <w:t>对各个地区的信息进行管理和维护，包含基本的增加、删除、修改、查询功能。同时可对大屏信息展示系统的路网图页面的地区坐标和文字显示进行维护。</w:t>
      </w:r>
    </w:p>
    <w:p>
      <w:pPr>
        <w:pStyle w:val="4"/>
        <w:rPr>
          <w:rFonts w:ascii="宋体" w:hAnsi="宋体" w:eastAsia="宋体"/>
          <w:color w:val="auto"/>
          <w:sz w:val="30"/>
          <w:szCs w:val="30"/>
        </w:rPr>
      </w:pPr>
      <w:r>
        <w:rPr>
          <w:rFonts w:hint="eastAsia" w:ascii="宋体" w:hAnsi="宋体" w:eastAsia="宋体"/>
          <w:color w:val="auto"/>
          <w:sz w:val="30"/>
          <w:szCs w:val="30"/>
        </w:rPr>
        <w:t>门架管理</w:t>
      </w:r>
    </w:p>
    <w:p>
      <w:pPr>
        <w:spacing w:line="360" w:lineRule="auto"/>
        <w:rPr>
          <w:rFonts w:ascii="宋体" w:hAnsi="宋体" w:eastAsia="宋体"/>
          <w:sz w:val="24"/>
          <w:szCs w:val="24"/>
        </w:rPr>
      </w:pPr>
      <w:r>
        <w:rPr>
          <w:rFonts w:hint="eastAsia" w:ascii="宋体" w:hAnsi="宋体" w:eastAsia="宋体"/>
          <w:sz w:val="24"/>
          <w:szCs w:val="24"/>
        </w:rPr>
        <w:t>对各个门架的信息进行管理和维护，包含基本的增加、删除、修改、查询功能。</w:t>
      </w:r>
    </w:p>
    <w:p>
      <w:pPr>
        <w:pStyle w:val="4"/>
        <w:rPr>
          <w:rFonts w:ascii="宋体" w:hAnsi="宋体" w:eastAsia="宋体"/>
          <w:color w:val="auto"/>
          <w:sz w:val="30"/>
          <w:szCs w:val="30"/>
        </w:rPr>
      </w:pPr>
      <w:r>
        <w:rPr>
          <w:rFonts w:hint="eastAsia" w:ascii="宋体" w:hAnsi="宋体" w:eastAsia="宋体"/>
          <w:color w:val="auto"/>
          <w:sz w:val="30"/>
          <w:szCs w:val="30"/>
        </w:rPr>
        <w:t>故障类型管理</w:t>
      </w:r>
    </w:p>
    <w:p>
      <w:pPr>
        <w:spacing w:line="360" w:lineRule="auto"/>
        <w:rPr>
          <w:rFonts w:ascii="宋体" w:hAnsi="宋体" w:eastAsia="宋体"/>
          <w:sz w:val="24"/>
          <w:szCs w:val="24"/>
        </w:rPr>
      </w:pPr>
      <w:r>
        <w:rPr>
          <w:rFonts w:hint="eastAsia" w:ascii="宋体" w:hAnsi="宋体" w:eastAsia="宋体"/>
          <w:sz w:val="24"/>
          <w:szCs w:val="24"/>
        </w:rPr>
        <w:t>对各种设备故障类型信息进行管理和维护，包含基本的增加、删除、修改、查询功能。</w:t>
      </w:r>
    </w:p>
    <w:p>
      <w:pPr>
        <w:pStyle w:val="3"/>
        <w:rPr>
          <w:rFonts w:ascii="宋体" w:hAnsi="宋体" w:eastAsia="宋体"/>
          <w:color w:val="auto"/>
          <w:sz w:val="36"/>
          <w:szCs w:val="36"/>
        </w:rPr>
      </w:pPr>
      <w:r>
        <w:rPr>
          <w:rFonts w:hint="eastAsia" w:ascii="宋体" w:hAnsi="宋体" w:eastAsia="宋体"/>
          <w:color w:val="auto"/>
          <w:sz w:val="36"/>
          <w:szCs w:val="36"/>
        </w:rPr>
        <w:t>台账管理</w:t>
      </w:r>
    </w:p>
    <w:p>
      <w:pPr>
        <w:pStyle w:val="4"/>
        <w:rPr>
          <w:rFonts w:ascii="宋体" w:hAnsi="宋体" w:eastAsia="宋体"/>
          <w:color w:val="auto"/>
          <w:sz w:val="30"/>
          <w:szCs w:val="30"/>
        </w:rPr>
      </w:pPr>
      <w:r>
        <w:rPr>
          <w:rFonts w:hint="eastAsia" w:ascii="宋体" w:hAnsi="宋体" w:eastAsia="宋体"/>
          <w:color w:val="auto"/>
          <w:sz w:val="30"/>
          <w:szCs w:val="30"/>
        </w:rPr>
        <w:t>维护台账</w:t>
      </w:r>
    </w:p>
    <w:p>
      <w:pPr>
        <w:spacing w:line="360" w:lineRule="auto"/>
        <w:rPr>
          <w:rFonts w:ascii="宋体" w:hAnsi="宋体" w:eastAsia="宋体"/>
          <w:sz w:val="24"/>
          <w:szCs w:val="24"/>
        </w:rPr>
      </w:pPr>
      <w:r>
        <w:rPr>
          <w:rFonts w:hint="eastAsia" w:ascii="宋体" w:hAnsi="宋体" w:eastAsia="宋体"/>
          <w:sz w:val="24"/>
          <w:szCs w:val="24"/>
        </w:rPr>
        <w:t>对维修记录进行管理和维护。</w:t>
      </w:r>
    </w:p>
    <w:p>
      <w:pPr>
        <w:spacing w:line="360" w:lineRule="auto"/>
        <w:rPr>
          <w:rFonts w:ascii="宋体" w:hAnsi="宋体" w:eastAsia="宋体"/>
          <w:sz w:val="24"/>
          <w:szCs w:val="24"/>
        </w:rPr>
      </w:pPr>
      <w:r>
        <w:rPr>
          <w:rFonts w:hint="eastAsia" w:ascii="宋体" w:hAnsi="宋体" w:eastAsia="宋体"/>
          <w:sz w:val="24"/>
          <w:szCs w:val="24"/>
        </w:rPr>
        <w:t>当有新的故障时，可以新增故障信息：选择故障类型、填写重点标注、选择所属公司、选择收费站、选择所属位置、选择报修日期、填写故障表象、填写处理结果、填写备注等信息。</w:t>
      </w:r>
    </w:p>
    <w:p>
      <w:pPr>
        <w:spacing w:line="360" w:lineRule="auto"/>
        <w:rPr>
          <w:rFonts w:ascii="宋体" w:hAnsi="宋体" w:eastAsia="宋体"/>
          <w:sz w:val="24"/>
          <w:szCs w:val="24"/>
        </w:rPr>
      </w:pPr>
      <w:r>
        <w:rPr>
          <w:rFonts w:hint="eastAsia" w:ascii="宋体" w:hAnsi="宋体" w:eastAsia="宋体"/>
          <w:sz w:val="24"/>
          <w:szCs w:val="24"/>
        </w:rPr>
        <w:t>当进行维修后，可以再次选择对应的故障信息，选择维修录入，填写修复日期、选择处理结果、填写处理步骤、填写维修人员姓名、填写通行费等信息。</w:t>
      </w:r>
    </w:p>
    <w:p>
      <w:pPr>
        <w:spacing w:line="360" w:lineRule="auto"/>
        <w:rPr>
          <w:rFonts w:ascii="宋体" w:hAnsi="宋体" w:eastAsia="宋体"/>
          <w:sz w:val="24"/>
          <w:szCs w:val="24"/>
        </w:rPr>
      </w:pPr>
      <w:r>
        <w:rPr>
          <w:rFonts w:hint="eastAsia" w:ascii="宋体" w:hAnsi="宋体" w:eastAsia="宋体"/>
          <w:sz w:val="24"/>
          <w:szCs w:val="24"/>
        </w:rPr>
        <w:t>提供维修记录的导入和导出功能，方便对以前的数据进行录入和管理维护。选择模板下载，然后根据模板填入以前的数据，在导入进系统进行管理和维护。也可以导出现有数据为</w:t>
      </w:r>
      <w:r>
        <w:rPr>
          <w:rFonts w:ascii="Times New Roman" w:hAnsi="Times New Roman" w:eastAsia="宋体" w:cs="Times New Roman"/>
          <w:sz w:val="24"/>
          <w:szCs w:val="24"/>
        </w:rPr>
        <w:t>EXCEL</w:t>
      </w:r>
      <w:r>
        <w:rPr>
          <w:rFonts w:hint="eastAsia" w:ascii="宋体" w:hAnsi="宋体" w:eastAsia="宋体"/>
          <w:sz w:val="24"/>
          <w:szCs w:val="24"/>
        </w:rPr>
        <w:t>文件。</w:t>
      </w:r>
    </w:p>
    <w:p>
      <w:pPr>
        <w:pStyle w:val="3"/>
        <w:rPr>
          <w:rFonts w:ascii="宋体" w:hAnsi="宋体" w:eastAsia="宋体"/>
          <w:color w:val="auto"/>
          <w:sz w:val="36"/>
          <w:szCs w:val="36"/>
        </w:rPr>
      </w:pPr>
      <w:r>
        <w:rPr>
          <w:rFonts w:hint="eastAsia" w:ascii="宋体" w:hAnsi="宋体" w:eastAsia="宋体"/>
          <w:color w:val="auto"/>
          <w:sz w:val="36"/>
          <w:szCs w:val="36"/>
        </w:rPr>
        <w:t>系统管理</w:t>
      </w:r>
    </w:p>
    <w:p>
      <w:pPr>
        <w:pStyle w:val="4"/>
        <w:rPr>
          <w:rFonts w:ascii="宋体" w:hAnsi="宋体" w:eastAsia="宋体"/>
          <w:color w:val="auto"/>
          <w:sz w:val="30"/>
          <w:szCs w:val="30"/>
        </w:rPr>
      </w:pPr>
      <w:r>
        <w:rPr>
          <w:rFonts w:hint="eastAsia" w:ascii="宋体" w:hAnsi="宋体" w:eastAsia="宋体"/>
          <w:color w:val="auto"/>
          <w:sz w:val="30"/>
          <w:szCs w:val="30"/>
        </w:rPr>
        <w:t>用户管理</w:t>
      </w:r>
    </w:p>
    <w:p>
      <w:pPr>
        <w:spacing w:line="360" w:lineRule="auto"/>
        <w:rPr>
          <w:rFonts w:hint="eastAsia" w:ascii="宋体" w:hAnsi="宋体" w:eastAsia="宋体"/>
          <w:sz w:val="24"/>
          <w:szCs w:val="24"/>
        </w:rPr>
      </w:pPr>
      <w:r>
        <w:rPr>
          <w:rFonts w:hint="eastAsia" w:ascii="宋体" w:hAnsi="宋体" w:eastAsia="宋体"/>
          <w:sz w:val="24"/>
          <w:szCs w:val="24"/>
        </w:rPr>
        <w:t>对能够登录后台的用户的管理和维护。包含基本的增加、删除、修改、查询功能。管理和维护用户的身份、角色、所属公司等信息。根据用户所属公司不同，会进行数据权限处理，使用户只能看到自己所负责的数据。通过数据隔离，保证数据的隔离性和安全性。</w:t>
      </w:r>
    </w:p>
    <w:p>
      <w:pPr>
        <w:pStyle w:val="4"/>
        <w:rPr>
          <w:rFonts w:ascii="宋体" w:hAnsi="宋体" w:eastAsia="宋体"/>
          <w:color w:val="auto"/>
          <w:sz w:val="30"/>
          <w:szCs w:val="30"/>
        </w:rPr>
      </w:pPr>
      <w:r>
        <w:rPr>
          <w:rFonts w:hint="eastAsia" w:ascii="宋体" w:hAnsi="宋体" w:eastAsia="宋体"/>
          <w:color w:val="auto"/>
          <w:sz w:val="30"/>
          <w:szCs w:val="30"/>
        </w:rPr>
        <w:t>角色管理</w:t>
      </w:r>
    </w:p>
    <w:p>
      <w:pPr>
        <w:spacing w:line="360" w:lineRule="auto"/>
        <w:rPr>
          <w:rFonts w:ascii="宋体" w:hAnsi="宋体" w:eastAsia="宋体"/>
          <w:sz w:val="24"/>
          <w:szCs w:val="24"/>
        </w:rPr>
      </w:pPr>
      <w:r>
        <w:rPr>
          <w:rFonts w:hint="eastAsia" w:ascii="宋体" w:hAnsi="宋体" w:eastAsia="宋体"/>
          <w:sz w:val="24"/>
          <w:szCs w:val="24"/>
        </w:rPr>
        <w:t>对能够登录后台的用户的身份进行管理和维护。包含基本的增加、删除、修改、查询功能。根据不同的角色身份，拥有不同的功能和权限，确保系统的安全和数据的安全。</w:t>
      </w:r>
    </w:p>
    <w:p>
      <w:pPr>
        <w:pStyle w:val="3"/>
        <w:rPr>
          <w:rFonts w:ascii="宋体" w:hAnsi="宋体" w:eastAsia="宋体"/>
          <w:color w:val="auto"/>
          <w:sz w:val="36"/>
          <w:szCs w:val="36"/>
        </w:rPr>
      </w:pPr>
      <w:r>
        <w:rPr>
          <w:rFonts w:hint="eastAsia" w:ascii="宋体" w:hAnsi="宋体" w:eastAsia="宋体"/>
          <w:color w:val="auto"/>
          <w:sz w:val="36"/>
          <w:szCs w:val="36"/>
        </w:rPr>
        <w:t>下载中心</w:t>
      </w:r>
    </w:p>
    <w:p>
      <w:pPr>
        <w:spacing w:line="360" w:lineRule="auto"/>
        <w:rPr>
          <w:rFonts w:hint="eastAsia" w:ascii="宋体" w:hAnsi="宋体" w:eastAsia="宋体"/>
          <w:sz w:val="24"/>
          <w:szCs w:val="24"/>
        </w:rPr>
      </w:pPr>
      <w:r>
        <w:rPr>
          <w:rFonts w:hint="eastAsia" w:ascii="宋体" w:hAnsi="宋体" w:eastAsia="宋体"/>
          <w:sz w:val="24"/>
          <w:szCs w:val="24"/>
        </w:rPr>
        <w:t>系统中的所有导入都会在下载中心显示。例如维护台账的导入，当选择文件并使用维护台账模块的导入后，下载中心会显示当前文件的上传人和上传时间，并显示当前文件的状态，当导入状态为部分成功时，可以点击右侧下载导入结果，其中会显示导入失败数据的失败原因。</w:t>
      </w:r>
    </w:p>
    <w:p>
      <w:pPr>
        <w:spacing w:line="360" w:lineRule="auto"/>
        <w:rPr>
          <w:rFonts w:hint="eastAsia" w:ascii="宋体" w:hAnsi="宋体" w:eastAsia="宋体"/>
          <w:sz w:val="24"/>
          <w:szCs w:val="24"/>
        </w:rPr>
      </w:pPr>
    </w:p>
    <w:p>
      <w:pPr>
        <w:spacing w:line="360" w:lineRule="auto"/>
        <w:ind w:firstLine="880" w:firstLineChars="20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ETC门架标志编号说明</w:t>
      </w:r>
    </w:p>
    <w:p>
      <w:pPr>
        <w:spacing w:line="360" w:lineRule="auto"/>
        <w:ind w:firstLine="480" w:firstLineChars="200"/>
        <w:rPr>
          <w:rFonts w:hint="eastAsia" w:ascii="宋体" w:hAnsi="宋体"/>
          <w:sz w:val="24"/>
        </w:rPr>
      </w:pP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1、在ETC 门架迎车方向面右上角设置ETC 门架编号标志，附着在ETC 门架右侧立柱上。ETC 门架标志编号由高速公路路线编号、出口编号、方向编号、顺序编号(如有)组成。</w:t>
      </w:r>
    </w:p>
    <w:p>
      <w:pPr>
        <w:spacing w:line="360" w:lineRule="auto"/>
        <w:jc w:val="center"/>
        <w:rPr>
          <w:rFonts w:ascii="宋体" w:hAnsi="宋体"/>
          <w:sz w:val="24"/>
        </w:rPr>
      </w:pPr>
      <w:r>
        <w:rPr>
          <w:rFonts w:ascii="宋体" w:hAnsi="宋体"/>
          <w:sz w:val="24"/>
        </w:rPr>
        <w:drawing>
          <wp:inline distT="0" distB="0" distL="114300" distR="114300">
            <wp:extent cx="3864610" cy="901065"/>
            <wp:effectExtent l="0" t="0" r="2540" b="13335"/>
            <wp:docPr id="1" name="图片 1" descr="编号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编号3"/>
                    <pic:cNvPicPr>
                      <a:picLocks noChangeAspect="1"/>
                    </pic:cNvPicPr>
                  </pic:nvPicPr>
                  <pic:blipFill>
                    <a:blip r:embed="rId4"/>
                    <a:stretch>
                      <a:fillRect/>
                    </a:stretch>
                  </pic:blipFill>
                  <pic:spPr>
                    <a:xfrm>
                      <a:off x="0" y="0"/>
                      <a:ext cx="3864610" cy="901065"/>
                    </a:xfrm>
                    <a:prstGeom prst="rect">
                      <a:avLst/>
                    </a:prstGeom>
                    <a:noFill/>
                    <a:ln>
                      <a:noFill/>
                    </a:ln>
                  </pic:spPr>
                </pic:pic>
              </a:graphicData>
            </a:graphic>
          </wp:inline>
        </w:drawing>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、标志版面为白底、黑字、黑边框，阿拉伯数字和英文字母采用B 型交通标志专用字体，高度为35cm。</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、上述门架编号标志组成含义如下：</w:t>
      </w:r>
    </w:p>
    <w:p>
      <w:pPr>
        <w:numPr>
          <w:ilvl w:val="0"/>
          <w:numId w:val="1"/>
        </w:numPr>
        <w:spacing w:line="360" w:lineRule="auto"/>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“G1212”为高速公路路线编号</w:t>
      </w:r>
    </w:p>
    <w:p>
      <w:pPr>
        <w:numPr>
          <w:ilvl w:val="0"/>
          <w:numId w:val="1"/>
        </w:numPr>
        <w:spacing w:line="360" w:lineRule="auto"/>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“161”为出口编号，即ETC门架前进方向第一个互通位置的整公里桩号</w:t>
      </w:r>
    </w:p>
    <w:p>
      <w:pPr>
        <w:numPr>
          <w:ilvl w:val="0"/>
          <w:numId w:val="1"/>
        </w:numPr>
        <w:spacing w:line="360" w:lineRule="auto"/>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“A”为方向编号，A为桩号增大方向（上行），B为桩号减小方向（下行）。</w:t>
      </w:r>
    </w:p>
    <w:p>
      <w:pPr>
        <w:numPr>
          <w:ilvl w:val="0"/>
          <w:numId w:val="1"/>
        </w:numPr>
        <w:spacing w:line="360" w:lineRule="auto"/>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“1”为顺序编号，适用于两个互通之间有两个及以上的ETC门架时使用，沿前进方向依次编号。</w:t>
      </w:r>
    </w:p>
    <w:p>
      <w:pPr>
        <w:spacing w:line="360" w:lineRule="auto"/>
        <w:ind w:firstLine="480" w:firstLineChars="200"/>
        <w:rPr>
          <w:rFonts w:hint="eastAsia" w:ascii="宋体" w:hAnsi="宋体"/>
          <w:sz w:val="24"/>
        </w:rPr>
      </w:pPr>
    </w:p>
    <w:p>
      <w:pPr>
        <w:spacing w:line="360" w:lineRule="auto"/>
        <w:rPr>
          <w:rFonts w:hint="eastAsia" w:ascii="宋体" w:hAnsi="宋体" w:eastAsia="宋体"/>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F69C66"/>
    <w:multiLevelType w:val="singleLevel"/>
    <w:tmpl w:val="72F69C66"/>
    <w:lvl w:ilvl="0" w:tentative="0">
      <w:start w:val="1"/>
      <w:numFmt w:val="decimalEnclosedCircleChinese"/>
      <w:suff w:val="nothing"/>
      <w:lvlText w:val="%1　"/>
      <w:lvlJc w:val="left"/>
      <w:pPr>
        <w:ind w:left="0" w:firstLine="4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309"/>
    <w:rsid w:val="000633E1"/>
    <w:rsid w:val="000F10C8"/>
    <w:rsid w:val="001666CF"/>
    <w:rsid w:val="00176BB4"/>
    <w:rsid w:val="001E3B42"/>
    <w:rsid w:val="0022121A"/>
    <w:rsid w:val="00224A77"/>
    <w:rsid w:val="002E7372"/>
    <w:rsid w:val="003321B3"/>
    <w:rsid w:val="0038231B"/>
    <w:rsid w:val="00464347"/>
    <w:rsid w:val="004A1E81"/>
    <w:rsid w:val="004A7CDA"/>
    <w:rsid w:val="004D52C8"/>
    <w:rsid w:val="00685D6A"/>
    <w:rsid w:val="006A48DB"/>
    <w:rsid w:val="006C1E7F"/>
    <w:rsid w:val="006D35DD"/>
    <w:rsid w:val="006E049B"/>
    <w:rsid w:val="007D6489"/>
    <w:rsid w:val="00832919"/>
    <w:rsid w:val="008826FD"/>
    <w:rsid w:val="00912CC0"/>
    <w:rsid w:val="009238A2"/>
    <w:rsid w:val="00947A5C"/>
    <w:rsid w:val="009C49F9"/>
    <w:rsid w:val="009F1673"/>
    <w:rsid w:val="00A63CE8"/>
    <w:rsid w:val="00A6795E"/>
    <w:rsid w:val="00B62309"/>
    <w:rsid w:val="00C130EB"/>
    <w:rsid w:val="00E155BF"/>
    <w:rsid w:val="00E279A0"/>
    <w:rsid w:val="00EA0D31"/>
    <w:rsid w:val="00F47533"/>
    <w:rsid w:val="00F61487"/>
    <w:rsid w:val="35DD672B"/>
    <w:rsid w:val="37B91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qFormat/>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qFormat/>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qFormat/>
    <w:uiPriority w:val="9"/>
    <w:rPr>
      <w:rFonts w:cstheme="majorBidi"/>
      <w:color w:val="104862" w:themeColor="accent1" w:themeShade="BF"/>
      <w:sz w:val="28"/>
      <w:szCs w:val="28"/>
    </w:rPr>
  </w:style>
  <w:style w:type="character" w:customStyle="1" w:styleId="19">
    <w:name w:val="标题 5 字符"/>
    <w:basedOn w:val="14"/>
    <w:link w:val="6"/>
    <w:semiHidden/>
    <w:qFormat/>
    <w:uiPriority w:val="9"/>
    <w:rPr>
      <w:rFonts w:cstheme="majorBidi"/>
      <w:color w:val="104862" w:themeColor="accent1" w:themeShade="BF"/>
      <w:sz w:val="24"/>
      <w:szCs w:val="24"/>
    </w:rPr>
  </w:style>
  <w:style w:type="character" w:customStyle="1" w:styleId="20">
    <w:name w:val="标题 6 字符"/>
    <w:basedOn w:val="14"/>
    <w:link w:val="7"/>
    <w:semiHidden/>
    <w:qFormat/>
    <w:uiPriority w:val="9"/>
    <w:rPr>
      <w:rFonts w:cstheme="majorBidi"/>
      <w:b/>
      <w:bCs/>
      <w:color w:val="104862" w:themeColor="accent1" w:themeShade="BF"/>
    </w:rPr>
  </w:style>
  <w:style w:type="character" w:customStyle="1" w:styleId="21">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qFormat/>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1956</Words>
  <Characters>1993</Characters>
  <Lines>12</Lines>
  <Paragraphs>3</Paragraphs>
  <TotalTime>1</TotalTime>
  <ScaleCrop>false</ScaleCrop>
  <LinksUpToDate>false</LinksUpToDate>
  <CharactersWithSpaces>2002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2024-03-07T00:56:00Z</dcterms:created>
  <dc:creator>MVP HUAN</dc:creator>
  <cp:lastModifiedBy>lenovo</cp:lastModifiedBy>
  <dcterms:modified xsi:type="dcterms:W3CDTF">2024-03-12T00:48:28Z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52D4ED1813EF4687AEA9A3E69A782920</vt:lpwstr>
  </property>
</Properties>
</file>