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pPr>
        <w:pStyle w:val="2"/>
        <w:bidi w:val="0"/>
      </w:pPr>
      <w:r>
        <w:rPr>
          <w:rFonts w:hint="eastAsia"/>
        </w:rPr>
        <w:t>单柱式交通标志</w:t>
      </w:r>
    </w:p>
    <w:p>
      <w:r>
        <w:drawing>
          <wp:inline distT="0" distB="0" distL="114300" distR="114300">
            <wp:extent cx="5267960" cy="3696970"/>
            <wp:effectExtent l="0" t="0" r="8890" b="177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67960" cy="3696970"/>
                    </a:xfrm>
                    <a:prstGeom prst="rect">
                      <a:avLst/>
                    </a:prstGeom>
                    <a:noFill/>
                    <a:ln>
                      <a:noFill/>
                    </a:ln>
                  </pic:spPr>
                </pic:pic>
              </a:graphicData>
            </a:graphic>
          </wp:inline>
        </w:drawing>
      </w:r>
    </w:p>
    <w:p>
      <w:r>
        <w:drawing>
          <wp:inline distT="0" distB="0" distL="114300" distR="114300">
            <wp:extent cx="5267960" cy="3785870"/>
            <wp:effectExtent l="0" t="0" r="889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67960" cy="3785870"/>
                    </a:xfrm>
                    <a:prstGeom prst="rect">
                      <a:avLst/>
                    </a:prstGeom>
                    <a:noFill/>
                    <a:ln>
                      <a:noFill/>
                    </a:ln>
                  </pic:spPr>
                </pic:pic>
              </a:graphicData>
            </a:graphic>
          </wp:inline>
        </w:drawing>
      </w:r>
    </w:p>
    <w:p/>
    <w:p>
      <w:pPr>
        <w:pStyle w:val="2"/>
        <w:bidi w:val="0"/>
        <w:rPr>
          <w:rFonts w:hint="eastAsia"/>
          <w:lang w:val="en-US" w:eastAsia="zh-CN"/>
        </w:rPr>
      </w:pPr>
      <w:r>
        <w:rPr>
          <w:rFonts w:hint="eastAsia"/>
          <w:lang w:val="en-US" w:eastAsia="zh-CN"/>
        </w:rPr>
        <w:t>轮廓标</w:t>
      </w:r>
    </w:p>
    <w:p/>
    <w:p>
      <w:r>
        <w:drawing>
          <wp:inline distT="0" distB="0" distL="114300" distR="114300">
            <wp:extent cx="5269865" cy="5784850"/>
            <wp:effectExtent l="0" t="0" r="6985"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269865" cy="5784850"/>
                    </a:xfrm>
                    <a:prstGeom prst="rect">
                      <a:avLst/>
                    </a:prstGeom>
                    <a:noFill/>
                    <a:ln>
                      <a:noFill/>
                    </a:ln>
                  </pic:spPr>
                </pic:pic>
              </a:graphicData>
            </a:graphic>
          </wp:inline>
        </w:drawing>
      </w:r>
    </w:p>
    <w:p/>
    <w:p/>
    <w:p/>
    <w:p/>
    <w:p/>
    <w:p/>
    <w:p/>
    <w:p/>
    <w:p/>
    <w:p>
      <w:pPr>
        <w:pStyle w:val="2"/>
        <w:bidi w:val="0"/>
        <w:rPr>
          <w:rFonts w:hint="eastAsia"/>
          <w:lang w:val="en-US" w:eastAsia="zh-CN"/>
        </w:rPr>
      </w:pPr>
      <w:r>
        <w:rPr>
          <w:rFonts w:hint="eastAsia"/>
          <w:lang w:val="en-US" w:eastAsia="zh-CN"/>
        </w:rPr>
        <w:t>反光膜</w:t>
      </w:r>
    </w:p>
    <w:p/>
    <w:p>
      <w:pPr>
        <w:rPr>
          <w:rFonts w:ascii="宋体" w:hAnsi="宋体" w:eastAsia="宋体" w:cs="宋体"/>
          <w:sz w:val="24"/>
          <w:szCs w:val="24"/>
        </w:rPr>
      </w:pPr>
      <w:r>
        <w:rPr>
          <w:rFonts w:ascii="宋体" w:hAnsi="宋体" w:eastAsia="宋体" w:cs="宋体"/>
          <w:sz w:val="24"/>
          <w:szCs w:val="24"/>
        </w:rPr>
        <w:drawing>
          <wp:inline distT="0" distB="0" distL="114300" distR="114300">
            <wp:extent cx="5798185" cy="2657475"/>
            <wp:effectExtent l="0" t="0" r="12065" b="9525"/>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7"/>
                    <a:stretch>
                      <a:fillRect/>
                    </a:stretch>
                  </pic:blipFill>
                  <pic:spPr>
                    <a:xfrm>
                      <a:off x="0" y="0"/>
                      <a:ext cx="5798185" cy="2657475"/>
                    </a:xfrm>
                    <a:prstGeom prst="rect">
                      <a:avLst/>
                    </a:prstGeom>
                    <a:noFill/>
                    <a:ln w="9525">
                      <a:noFill/>
                    </a:ln>
                  </pic:spPr>
                </pic:pic>
              </a:graphicData>
            </a:graphic>
          </wp:inline>
        </w:drawing>
      </w:r>
    </w:p>
    <w:p>
      <w:pPr>
        <w:rPr>
          <w:rFonts w:ascii="宋体" w:hAnsi="宋体" w:eastAsia="宋体" w:cs="宋体"/>
          <w:sz w:val="24"/>
          <w:szCs w:val="24"/>
        </w:rPr>
      </w:pPr>
    </w:p>
    <w:p>
      <w:r>
        <w:rPr>
          <w:rFonts w:ascii="宋体" w:hAnsi="宋体" w:eastAsia="宋体" w:cs="宋体"/>
          <w:sz w:val="24"/>
          <w:szCs w:val="24"/>
        </w:rPr>
        <w:drawing>
          <wp:inline distT="0" distB="0" distL="114300" distR="114300">
            <wp:extent cx="5724525" cy="2667000"/>
            <wp:effectExtent l="0" t="0" r="9525" b="0"/>
            <wp:docPr id="5"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6"/>
                    <pic:cNvPicPr>
                      <a:picLocks noChangeAspect="1"/>
                    </pic:cNvPicPr>
                  </pic:nvPicPr>
                  <pic:blipFill>
                    <a:blip r:embed="rId8"/>
                    <a:stretch>
                      <a:fillRect/>
                    </a:stretch>
                  </pic:blipFill>
                  <pic:spPr>
                    <a:xfrm>
                      <a:off x="0" y="0"/>
                      <a:ext cx="5724525" cy="2667000"/>
                    </a:xfrm>
                    <a:prstGeom prst="rect">
                      <a:avLst/>
                    </a:prstGeom>
                    <a:noFill/>
                    <a:ln w="9525">
                      <a:noFill/>
                    </a:ln>
                  </pic:spPr>
                </pic:pic>
              </a:graphicData>
            </a:graphic>
          </wp:inline>
        </w:drawing>
      </w:r>
    </w:p>
    <w:p/>
    <w:p/>
    <w:p/>
    <w:p/>
    <w:p/>
    <w:p/>
    <w:p/>
    <w:p/>
    <w:p/>
    <w:p/>
    <w:p/>
    <w:p>
      <w:pPr>
        <w:pStyle w:val="3"/>
        <w:spacing w:before="82" w:line="219" w:lineRule="auto"/>
        <w:ind w:left="1073"/>
        <w:outlineLvl w:val="0"/>
      </w:pPr>
      <w:r>
        <w:rPr>
          <w:b/>
          <w:bCs/>
          <w:spacing w:val="28"/>
        </w:rPr>
        <w:t>雾天公路行车安全诱导装置</w:t>
      </w:r>
    </w:p>
    <w:p>
      <w:pPr>
        <w:pStyle w:val="3"/>
        <w:spacing w:before="227" w:line="219" w:lineRule="auto"/>
        <w:ind w:left="530"/>
      </w:pPr>
      <w:r>
        <w:rPr>
          <w:spacing w:val="-8"/>
        </w:rPr>
        <w:t>雾天公路行车安全诱导装置包含太阳能雾灯、防盗安装结构底座、定制</w:t>
      </w:r>
      <w:r>
        <w:rPr>
          <w:rFonts w:ascii="Times New Roman" w:hAnsi="Times New Roman" w:eastAsia="Times New Roman" w:cs="Times New Roman"/>
          <w:spacing w:val="-8"/>
        </w:rPr>
        <w:t>U</w:t>
      </w:r>
      <w:r>
        <w:rPr>
          <w:rFonts w:ascii="Times New Roman" w:hAnsi="Times New Roman" w:eastAsia="Times New Roman" w:cs="Times New Roman"/>
          <w:spacing w:val="25"/>
        </w:rPr>
        <w:t xml:space="preserve"> </w:t>
      </w:r>
      <w:r>
        <w:rPr>
          <w:spacing w:val="-8"/>
        </w:rPr>
        <w:t>型保护罩等。</w:t>
      </w:r>
    </w:p>
    <w:p>
      <w:pPr>
        <w:pStyle w:val="3"/>
        <w:spacing w:before="174" w:line="220" w:lineRule="auto"/>
        <w:ind w:left="530"/>
      </w:pPr>
      <w:r>
        <w:rPr>
          <w:spacing w:val="11"/>
        </w:rPr>
        <w:t>1)外观结构</w:t>
      </w:r>
    </w:p>
    <w:p>
      <w:pPr>
        <w:pStyle w:val="3"/>
        <w:spacing w:before="168" w:line="216" w:lineRule="auto"/>
        <w:ind w:left="690"/>
      </w:pPr>
      <w:r>
        <w:rPr>
          <w:spacing w:val="-7"/>
        </w:rPr>
        <w:t>●主体材质采用UPVC,  外观红色或橘黄醒目颜色；</w:t>
      </w:r>
    </w:p>
    <w:p>
      <w:pPr>
        <w:pStyle w:val="3"/>
        <w:spacing w:before="180" w:line="219" w:lineRule="auto"/>
        <w:ind w:left="690"/>
      </w:pPr>
      <w:r>
        <w:rPr>
          <w:spacing w:val="-12"/>
        </w:rPr>
        <w:t>●发光显示组件为方形，黄色诱导灯与红色警示灯上下独立布置；</w:t>
      </w:r>
    </w:p>
    <w:p>
      <w:pPr>
        <w:pStyle w:val="3"/>
        <w:spacing w:before="173" w:line="219" w:lineRule="auto"/>
        <w:ind w:left="690"/>
      </w:pPr>
      <w:r>
        <w:rPr>
          <w:spacing w:val="-14"/>
        </w:rPr>
        <w:t>●出光面应采用直透式设计；</w:t>
      </w:r>
    </w:p>
    <w:p>
      <w:pPr>
        <w:pStyle w:val="3"/>
        <w:spacing w:before="174" w:line="219" w:lineRule="auto"/>
        <w:ind w:left="690"/>
      </w:pPr>
      <w:r>
        <w:rPr>
          <w:spacing w:val="-3"/>
        </w:rPr>
        <w:t>●外廓尺寸宽度、高度、厚度应不大于200mm、400mm、200mm;</w:t>
      </w:r>
    </w:p>
    <w:p>
      <w:pPr>
        <w:pStyle w:val="3"/>
        <w:spacing w:before="153" w:line="219" w:lineRule="auto"/>
        <w:ind w:left="690"/>
      </w:pPr>
      <w:r>
        <w:rPr>
          <w:spacing w:val="-12"/>
        </w:rPr>
        <w:t>●太阳能供电版本的智能诱导装置，太阳能电池板采用一体化内嵌</w:t>
      </w:r>
      <w:r>
        <w:rPr>
          <w:spacing w:val="-13"/>
        </w:rPr>
        <w:t>结构，受光面≥3;</w:t>
      </w:r>
    </w:p>
    <w:p>
      <w:pPr>
        <w:pStyle w:val="3"/>
        <w:spacing w:before="185" w:line="219" w:lineRule="auto"/>
        <w:ind w:left="690"/>
      </w:pPr>
      <w:r>
        <w:rPr>
          <w:spacing w:val="-16"/>
        </w:rPr>
        <w:t>●防护等级：IP65。</w:t>
      </w:r>
    </w:p>
    <w:p>
      <w:pPr>
        <w:pStyle w:val="3"/>
        <w:spacing w:before="155" w:line="221" w:lineRule="auto"/>
        <w:ind w:left="530"/>
      </w:pPr>
      <w:r>
        <w:rPr>
          <w:spacing w:val="10"/>
        </w:rPr>
        <w:t>2)设备功能</w:t>
      </w:r>
    </w:p>
    <w:p>
      <w:pPr>
        <w:pStyle w:val="3"/>
        <w:spacing w:before="199" w:line="219" w:lineRule="auto"/>
        <w:ind w:left="690"/>
      </w:pPr>
      <w:r>
        <w:rPr>
          <w:spacing w:val="-11"/>
        </w:rPr>
        <w:t>●道路轮廓线形强化功能：智能诱导装置的黄色诱导灯能够显示为常亮状态；</w:t>
      </w:r>
    </w:p>
    <w:p>
      <w:pPr>
        <w:pStyle w:val="3"/>
        <w:spacing w:before="164" w:line="219" w:lineRule="auto"/>
        <w:ind w:left="690"/>
      </w:pPr>
      <w:r>
        <w:rPr>
          <w:spacing w:val="-10"/>
        </w:rPr>
        <w:t>●行车安全同步诱导功能：智能诱导装置的黄色诱导灯能够按照特定频率</w:t>
      </w:r>
      <w:r>
        <w:rPr>
          <w:spacing w:val="-11"/>
        </w:rPr>
        <w:t>进行同步闪烁；</w:t>
      </w:r>
    </w:p>
    <w:p>
      <w:pPr>
        <w:pStyle w:val="3"/>
        <w:spacing w:before="161" w:line="305" w:lineRule="auto"/>
        <w:ind w:left="690" w:right="809"/>
      </w:pPr>
      <w:r>
        <w:rPr>
          <w:spacing w:val="-10"/>
        </w:rPr>
        <w:t>●间距提示防止追尾警示功能：智能诱导装置开启车检功能，车辆通过后触发红色预警灯点</w:t>
      </w:r>
      <w:r>
        <w:t xml:space="preserve"> </w:t>
      </w:r>
      <w:r>
        <w:rPr>
          <w:spacing w:val="-8"/>
        </w:rPr>
        <w:t>亮，形成红色尾迹提示后车前方有车辆存在以及前后跟驰车辆的安全行车间距；红色警示区</w:t>
      </w:r>
      <w:r>
        <w:t xml:space="preserve"> </w:t>
      </w:r>
      <w:r>
        <w:rPr>
          <w:spacing w:val="-4"/>
        </w:rPr>
        <w:t>间长度可在60</w:t>
      </w:r>
      <w:r>
        <w:rPr>
          <w:rFonts w:ascii="Times New Roman" w:hAnsi="Times New Roman" w:eastAsia="Times New Roman" w:cs="Times New Roman"/>
          <w:spacing w:val="-4"/>
        </w:rPr>
        <w:t>m</w:t>
      </w:r>
      <w:r>
        <w:rPr>
          <w:spacing w:val="-4"/>
        </w:rPr>
        <w:t>～</w:t>
      </w:r>
      <w:r>
        <w:rPr>
          <w:rFonts w:ascii="Times New Roman" w:hAnsi="Times New Roman" w:eastAsia="Times New Roman" w:cs="Times New Roman"/>
          <w:spacing w:val="-4"/>
        </w:rPr>
        <w:t>100m</w:t>
      </w:r>
      <w:r>
        <w:rPr>
          <w:rFonts w:ascii="Times New Roman" w:hAnsi="Times New Roman" w:eastAsia="Times New Roman" w:cs="Times New Roman"/>
          <w:spacing w:val="26"/>
          <w:w w:val="101"/>
        </w:rPr>
        <w:t xml:space="preserve"> </w:t>
      </w:r>
      <w:r>
        <w:rPr>
          <w:spacing w:val="-4"/>
        </w:rPr>
        <w:t>范围内调整；</w:t>
      </w:r>
    </w:p>
    <w:p>
      <w:pPr>
        <w:pStyle w:val="3"/>
        <w:spacing w:before="173" w:line="184" w:lineRule="auto"/>
        <w:ind w:left="690"/>
      </w:pPr>
      <w:r>
        <w:rPr>
          <w:spacing w:val="-9"/>
        </w:rPr>
        <w:t>●碰撞事故检测预警功能：能够对车辆撞击设备或护栏的交通事故进行检测，并上报管</w:t>
      </w:r>
      <w:r>
        <w:rPr>
          <w:spacing w:val="-10"/>
        </w:rPr>
        <w:t>理平</w:t>
      </w:r>
    </w:p>
    <w:p>
      <w:pPr>
        <w:spacing w:line="14" w:lineRule="auto"/>
        <w:rPr>
          <w:rFonts w:ascii="Arial"/>
          <w:sz w:val="2"/>
        </w:rPr>
      </w:pPr>
      <w:r>
        <w:rPr>
          <w:rFonts w:ascii="Arial" w:hAnsi="Arial" w:eastAsia="Arial" w:cs="Arial"/>
          <w:sz w:val="2"/>
          <w:szCs w:val="2"/>
        </w:rPr>
        <w:br w:type="column"/>
      </w:r>
    </w:p>
    <w:p>
      <w:pPr>
        <w:pStyle w:val="3"/>
        <w:spacing w:before="50" w:line="219" w:lineRule="auto"/>
        <w:ind w:left="180"/>
        <w:rPr>
          <w:sz w:val="19"/>
          <w:szCs w:val="19"/>
        </w:rPr>
      </w:pPr>
      <w:r>
        <w:rPr>
          <w:spacing w:val="-12"/>
          <w:sz w:val="19"/>
          <w:szCs w:val="19"/>
        </w:rPr>
        <w:t>台 ，</w:t>
      </w:r>
      <w:r>
        <w:rPr>
          <w:spacing w:val="-14"/>
          <w:sz w:val="19"/>
          <w:szCs w:val="19"/>
        </w:rPr>
        <w:t xml:space="preserve"> </w:t>
      </w:r>
      <w:r>
        <w:rPr>
          <w:spacing w:val="-12"/>
          <w:sz w:val="19"/>
          <w:szCs w:val="19"/>
        </w:rPr>
        <w:t>可</w:t>
      </w:r>
      <w:r>
        <w:rPr>
          <w:spacing w:val="-29"/>
          <w:sz w:val="19"/>
          <w:szCs w:val="19"/>
        </w:rPr>
        <w:t xml:space="preserve"> </w:t>
      </w:r>
      <w:r>
        <w:rPr>
          <w:spacing w:val="-12"/>
          <w:sz w:val="19"/>
          <w:szCs w:val="19"/>
        </w:rPr>
        <w:t>根</w:t>
      </w:r>
      <w:r>
        <w:rPr>
          <w:spacing w:val="-30"/>
          <w:sz w:val="19"/>
          <w:szCs w:val="19"/>
        </w:rPr>
        <w:t xml:space="preserve"> </w:t>
      </w:r>
      <w:r>
        <w:rPr>
          <w:spacing w:val="-12"/>
          <w:sz w:val="19"/>
          <w:szCs w:val="19"/>
        </w:rPr>
        <w:t>据</w:t>
      </w:r>
      <w:r>
        <w:rPr>
          <w:spacing w:val="-27"/>
          <w:sz w:val="19"/>
          <w:szCs w:val="19"/>
        </w:rPr>
        <w:t xml:space="preserve"> </w:t>
      </w:r>
      <w:r>
        <w:rPr>
          <w:spacing w:val="-12"/>
          <w:sz w:val="19"/>
          <w:szCs w:val="19"/>
        </w:rPr>
        <w:t>预</w:t>
      </w:r>
      <w:r>
        <w:rPr>
          <w:spacing w:val="-26"/>
          <w:sz w:val="19"/>
          <w:szCs w:val="19"/>
        </w:rPr>
        <w:t xml:space="preserve"> </w:t>
      </w:r>
      <w:r>
        <w:rPr>
          <w:spacing w:val="-12"/>
          <w:sz w:val="19"/>
          <w:szCs w:val="19"/>
        </w:rPr>
        <w:t>设</w:t>
      </w:r>
      <w:r>
        <w:rPr>
          <w:spacing w:val="-28"/>
          <w:sz w:val="19"/>
          <w:szCs w:val="19"/>
        </w:rPr>
        <w:t xml:space="preserve"> </w:t>
      </w:r>
      <w:r>
        <w:rPr>
          <w:spacing w:val="-12"/>
          <w:sz w:val="19"/>
          <w:szCs w:val="19"/>
        </w:rPr>
        <w:t>联</w:t>
      </w:r>
      <w:r>
        <w:rPr>
          <w:spacing w:val="-28"/>
          <w:sz w:val="19"/>
          <w:szCs w:val="19"/>
        </w:rPr>
        <w:t xml:space="preserve"> </w:t>
      </w:r>
      <w:r>
        <w:rPr>
          <w:spacing w:val="-12"/>
          <w:sz w:val="19"/>
          <w:szCs w:val="19"/>
        </w:rPr>
        <w:t>动</w:t>
      </w:r>
      <w:r>
        <w:rPr>
          <w:spacing w:val="-28"/>
          <w:sz w:val="19"/>
          <w:szCs w:val="19"/>
        </w:rPr>
        <w:t xml:space="preserve"> </w:t>
      </w:r>
      <w:r>
        <w:rPr>
          <w:spacing w:val="-12"/>
          <w:sz w:val="19"/>
          <w:szCs w:val="19"/>
        </w:rPr>
        <w:t>规</w:t>
      </w:r>
      <w:r>
        <w:rPr>
          <w:spacing w:val="-25"/>
          <w:sz w:val="19"/>
          <w:szCs w:val="19"/>
        </w:rPr>
        <w:t xml:space="preserve"> </w:t>
      </w:r>
      <w:r>
        <w:rPr>
          <w:spacing w:val="-12"/>
          <w:sz w:val="19"/>
          <w:szCs w:val="19"/>
        </w:rPr>
        <w:t>则 ，</w:t>
      </w:r>
      <w:r>
        <w:rPr>
          <w:spacing w:val="-30"/>
          <w:sz w:val="19"/>
          <w:szCs w:val="19"/>
        </w:rPr>
        <w:t xml:space="preserve"> </w:t>
      </w:r>
      <w:r>
        <w:rPr>
          <w:spacing w:val="-12"/>
          <w:sz w:val="19"/>
          <w:szCs w:val="19"/>
        </w:rPr>
        <w:t>在</w:t>
      </w:r>
      <w:r>
        <w:rPr>
          <w:spacing w:val="-28"/>
          <w:sz w:val="19"/>
          <w:szCs w:val="19"/>
        </w:rPr>
        <w:t xml:space="preserve"> </w:t>
      </w:r>
      <w:r>
        <w:rPr>
          <w:spacing w:val="-12"/>
          <w:sz w:val="19"/>
          <w:szCs w:val="19"/>
        </w:rPr>
        <w:t>事</w:t>
      </w:r>
      <w:r>
        <w:rPr>
          <w:spacing w:val="-30"/>
          <w:sz w:val="19"/>
          <w:szCs w:val="19"/>
        </w:rPr>
        <w:t xml:space="preserve"> </w:t>
      </w:r>
      <w:r>
        <w:rPr>
          <w:spacing w:val="-12"/>
          <w:sz w:val="19"/>
          <w:szCs w:val="19"/>
        </w:rPr>
        <w:t>件 点</w:t>
      </w:r>
      <w:r>
        <w:rPr>
          <w:spacing w:val="-27"/>
          <w:sz w:val="19"/>
          <w:szCs w:val="19"/>
        </w:rPr>
        <w:t xml:space="preserve"> </w:t>
      </w:r>
      <w:r>
        <w:rPr>
          <w:spacing w:val="-12"/>
          <w:sz w:val="19"/>
          <w:szCs w:val="19"/>
        </w:rPr>
        <w:t>上</w:t>
      </w:r>
      <w:r>
        <w:rPr>
          <w:spacing w:val="-29"/>
          <w:sz w:val="19"/>
          <w:szCs w:val="19"/>
        </w:rPr>
        <w:t xml:space="preserve"> </w:t>
      </w:r>
      <w:r>
        <w:rPr>
          <w:spacing w:val="-12"/>
          <w:sz w:val="19"/>
          <w:szCs w:val="19"/>
        </w:rPr>
        <w:t>游</w:t>
      </w:r>
      <w:r>
        <w:rPr>
          <w:spacing w:val="-29"/>
          <w:sz w:val="19"/>
          <w:szCs w:val="19"/>
        </w:rPr>
        <w:t xml:space="preserve"> </w:t>
      </w:r>
      <w:r>
        <w:rPr>
          <w:spacing w:val="-12"/>
          <w:sz w:val="19"/>
          <w:szCs w:val="19"/>
        </w:rPr>
        <w:t>特</w:t>
      </w:r>
      <w:r>
        <w:rPr>
          <w:spacing w:val="-24"/>
          <w:sz w:val="19"/>
          <w:szCs w:val="19"/>
        </w:rPr>
        <w:t xml:space="preserve"> </w:t>
      </w:r>
      <w:r>
        <w:rPr>
          <w:spacing w:val="-12"/>
          <w:sz w:val="19"/>
          <w:szCs w:val="19"/>
        </w:rPr>
        <w:t>定</w:t>
      </w:r>
      <w:r>
        <w:rPr>
          <w:spacing w:val="-25"/>
          <w:sz w:val="19"/>
          <w:szCs w:val="19"/>
        </w:rPr>
        <w:t xml:space="preserve"> </w:t>
      </w:r>
      <w:r>
        <w:rPr>
          <w:spacing w:val="-12"/>
          <w:sz w:val="19"/>
          <w:szCs w:val="19"/>
        </w:rPr>
        <w:t>范 围 内</w:t>
      </w:r>
      <w:r>
        <w:rPr>
          <w:spacing w:val="-30"/>
          <w:sz w:val="19"/>
          <w:szCs w:val="19"/>
        </w:rPr>
        <w:t xml:space="preserve"> </w:t>
      </w:r>
      <w:r>
        <w:rPr>
          <w:spacing w:val="-12"/>
          <w:sz w:val="19"/>
          <w:szCs w:val="19"/>
        </w:rPr>
        <w:t>进</w:t>
      </w:r>
      <w:r>
        <w:rPr>
          <w:spacing w:val="-26"/>
          <w:sz w:val="19"/>
          <w:szCs w:val="19"/>
        </w:rPr>
        <w:t xml:space="preserve"> </w:t>
      </w:r>
      <w:r>
        <w:rPr>
          <w:spacing w:val="-12"/>
          <w:sz w:val="19"/>
          <w:szCs w:val="19"/>
        </w:rPr>
        <w:t>行</w:t>
      </w:r>
      <w:r>
        <w:rPr>
          <w:spacing w:val="-27"/>
          <w:sz w:val="19"/>
          <w:szCs w:val="19"/>
        </w:rPr>
        <w:t xml:space="preserve"> </w:t>
      </w:r>
      <w:r>
        <w:rPr>
          <w:spacing w:val="-12"/>
          <w:sz w:val="19"/>
          <w:szCs w:val="19"/>
        </w:rPr>
        <w:t>预</w:t>
      </w:r>
      <w:r>
        <w:rPr>
          <w:spacing w:val="-26"/>
          <w:sz w:val="19"/>
          <w:szCs w:val="19"/>
        </w:rPr>
        <w:t xml:space="preserve"> </w:t>
      </w:r>
      <w:r>
        <w:rPr>
          <w:spacing w:val="-12"/>
          <w:sz w:val="19"/>
          <w:szCs w:val="19"/>
        </w:rPr>
        <w:t>警</w:t>
      </w:r>
      <w:r>
        <w:rPr>
          <w:spacing w:val="-28"/>
          <w:sz w:val="19"/>
          <w:szCs w:val="19"/>
        </w:rPr>
        <w:t xml:space="preserve"> </w:t>
      </w:r>
      <w:r>
        <w:rPr>
          <w:spacing w:val="-12"/>
          <w:sz w:val="19"/>
          <w:szCs w:val="19"/>
        </w:rPr>
        <w:t>提</w:t>
      </w:r>
      <w:r>
        <w:rPr>
          <w:spacing w:val="-28"/>
          <w:sz w:val="19"/>
          <w:szCs w:val="19"/>
        </w:rPr>
        <w:t xml:space="preserve"> </w:t>
      </w:r>
      <w:r>
        <w:rPr>
          <w:spacing w:val="-12"/>
          <w:sz w:val="19"/>
          <w:szCs w:val="19"/>
        </w:rPr>
        <w:t>示 (</w:t>
      </w:r>
      <w:r>
        <w:rPr>
          <w:spacing w:val="-30"/>
          <w:sz w:val="19"/>
          <w:szCs w:val="19"/>
        </w:rPr>
        <w:t xml:space="preserve"> </w:t>
      </w:r>
      <w:r>
        <w:rPr>
          <w:spacing w:val="-12"/>
          <w:sz w:val="19"/>
          <w:szCs w:val="19"/>
        </w:rPr>
        <w:t>*</w:t>
      </w:r>
      <w:r>
        <w:rPr>
          <w:spacing w:val="-28"/>
          <w:sz w:val="19"/>
          <w:szCs w:val="19"/>
        </w:rPr>
        <w:t xml:space="preserve"> </w:t>
      </w:r>
      <w:r>
        <w:rPr>
          <w:spacing w:val="-12"/>
          <w:sz w:val="19"/>
          <w:szCs w:val="19"/>
        </w:rPr>
        <w:t>)</w:t>
      </w:r>
      <w:r>
        <w:rPr>
          <w:spacing w:val="-36"/>
          <w:sz w:val="19"/>
          <w:szCs w:val="19"/>
        </w:rPr>
        <w:t xml:space="preserve"> </w:t>
      </w:r>
      <w:r>
        <w:rPr>
          <w:spacing w:val="-12"/>
          <w:sz w:val="19"/>
          <w:szCs w:val="19"/>
        </w:rPr>
        <w:t>。</w:t>
      </w:r>
    </w:p>
    <w:p>
      <w:pPr>
        <w:pStyle w:val="3"/>
        <w:spacing w:before="157" w:line="219" w:lineRule="auto"/>
      </w:pPr>
      <w:r>
        <w:rPr>
          <w:spacing w:val="8"/>
        </w:rPr>
        <w:t>3)发光显示组件</w:t>
      </w:r>
    </w:p>
    <w:p>
      <w:pPr>
        <w:pStyle w:val="3"/>
        <w:spacing w:before="153" w:line="219" w:lineRule="auto"/>
        <w:ind w:left="180"/>
      </w:pPr>
      <w:r>
        <w:rPr>
          <w:spacing w:val="-17"/>
        </w:rPr>
        <w:t>●警示与诱导灯光体面积：≥0.02m²;</w:t>
      </w:r>
    </w:p>
    <w:p>
      <w:pPr>
        <w:pStyle w:val="3"/>
        <w:spacing w:before="146" w:line="212" w:lineRule="auto"/>
        <w:ind w:left="180"/>
        <w:rPr>
          <w:rFonts w:ascii="Times New Roman" w:hAnsi="Times New Roman" w:eastAsia="Times New Roman" w:cs="Times New Roman"/>
        </w:rPr>
      </w:pPr>
      <w:r>
        <w:rPr>
          <w:spacing w:val="-8"/>
        </w:rPr>
        <w:t>●警示与诱导灯亮度：500～7000</w:t>
      </w:r>
      <w:r>
        <w:rPr>
          <w:rFonts w:ascii="Times New Roman" w:hAnsi="Times New Roman" w:eastAsia="Times New Roman" w:cs="Times New Roman"/>
          <w:spacing w:val="-8"/>
        </w:rPr>
        <w:t>cd/m²;</w:t>
      </w:r>
    </w:p>
    <w:p>
      <w:pPr>
        <w:pStyle w:val="3"/>
        <w:spacing w:before="209" w:line="219" w:lineRule="auto"/>
        <w:ind w:left="180"/>
      </w:pPr>
      <w:r>
        <w:rPr>
          <w:spacing w:val="-1"/>
        </w:rPr>
        <w:t>●亮度控制：等级不少于八档，误差不超过20%;</w:t>
      </w:r>
    </w:p>
    <w:p>
      <w:pPr>
        <w:pStyle w:val="3"/>
        <w:spacing w:before="163" w:line="219" w:lineRule="auto"/>
        <w:ind w:left="180"/>
      </w:pPr>
      <w:r>
        <w:rPr>
          <w:spacing w:val="-7"/>
        </w:rPr>
        <w:t>●同步闪烁：诱导灯、预警灯在同步闪作模式下时同步时间误差小于10ms;</w:t>
      </w:r>
    </w:p>
    <w:p>
      <w:pPr>
        <w:pStyle w:val="3"/>
        <w:spacing w:before="183" w:line="219" w:lineRule="auto"/>
        <w:ind w:left="180"/>
      </w:pPr>
      <w:r>
        <w:rPr>
          <w:spacing w:val="-7"/>
        </w:rPr>
        <w:t xml:space="preserve">●闪烁策略：常亮、30次/min、60 次/min、120 </w:t>
      </w:r>
      <w:r>
        <w:rPr>
          <w:spacing w:val="-8"/>
        </w:rPr>
        <w:t>次/min 四种；</w:t>
      </w:r>
    </w:p>
    <w:p>
      <w:pPr>
        <w:pStyle w:val="3"/>
        <w:spacing w:before="164" w:line="219" w:lineRule="auto"/>
        <w:ind w:left="180"/>
      </w:pPr>
      <w:r>
        <w:rPr>
          <w:spacing w:val="2"/>
        </w:rPr>
        <w:t>●闪烁模式占空比：1:2(*);</w:t>
      </w:r>
    </w:p>
    <w:p>
      <w:pPr>
        <w:pStyle w:val="3"/>
        <w:spacing w:before="182" w:line="219" w:lineRule="auto"/>
        <w:ind w:left="180"/>
      </w:pPr>
      <w:r>
        <w:rPr>
          <w:spacing w:val="-11"/>
        </w:rPr>
        <w:t>●续航能力：采用太阳能供电时，蓄电池的额定容量满足智能</w:t>
      </w:r>
      <w:r>
        <w:rPr>
          <w:spacing w:val="-12"/>
        </w:rPr>
        <w:t>诱导装置正常发光≥240h(*)。</w:t>
      </w:r>
    </w:p>
    <w:p>
      <w:pPr>
        <w:pStyle w:val="3"/>
        <w:spacing w:before="165" w:line="219" w:lineRule="auto"/>
      </w:pPr>
      <w:r>
        <w:rPr>
          <w:spacing w:val="9"/>
        </w:rPr>
        <w:t>4)车辆检测功能</w:t>
      </w:r>
    </w:p>
    <w:p>
      <w:pPr>
        <w:pStyle w:val="3"/>
        <w:spacing w:before="163" w:line="219" w:lineRule="auto"/>
        <w:ind w:left="180"/>
      </w:pPr>
      <w:r>
        <w:rPr>
          <w:spacing w:val="-13"/>
        </w:rPr>
        <w:t>●车辆通过检测模块：红外检测；</w:t>
      </w:r>
    </w:p>
    <w:p>
      <w:pPr>
        <w:pStyle w:val="3"/>
        <w:spacing w:before="174" w:line="219" w:lineRule="auto"/>
        <w:ind w:left="180"/>
      </w:pPr>
      <w:r>
        <w:rPr>
          <w:spacing w:val="-17"/>
        </w:rPr>
        <w:t>●红外检测光束有效距离：≥20m;</w:t>
      </w:r>
    </w:p>
    <w:p>
      <w:pPr>
        <w:pStyle w:val="3"/>
        <w:spacing w:before="193" w:line="219" w:lineRule="auto"/>
        <w:ind w:left="180"/>
      </w:pPr>
      <w:r>
        <w:rPr>
          <w:spacing w:val="4"/>
        </w:rPr>
        <w:t>●红外检测光束冗余：双冗余(*);</w:t>
      </w:r>
    </w:p>
    <w:p>
      <w:pPr>
        <w:pStyle w:val="3"/>
        <w:spacing w:before="161" w:line="218" w:lineRule="auto"/>
        <w:ind w:left="180"/>
      </w:pPr>
      <w:r>
        <w:rPr>
          <w:spacing w:val="1"/>
        </w:rPr>
        <w:t>●检测结构调节：全向可调节结构设计，调节幅度不小于25度(*)。</w:t>
      </w:r>
    </w:p>
    <w:p>
      <w:pPr>
        <w:pStyle w:val="3"/>
        <w:spacing w:before="187" w:line="219" w:lineRule="auto"/>
      </w:pPr>
      <w:r>
        <w:rPr>
          <w:spacing w:val="4"/>
        </w:rPr>
        <w:t>5)无线通信模块与控制</w:t>
      </w:r>
    </w:p>
    <w:p>
      <w:pPr>
        <w:pStyle w:val="3"/>
        <w:spacing w:before="164" w:line="219" w:lineRule="auto"/>
        <w:ind w:left="180"/>
      </w:pPr>
      <w:r>
        <w:rPr>
          <w:spacing w:val="-14"/>
        </w:rPr>
        <w:t>●无线数据链单节点覆盖半径：≥120m(*);</w:t>
      </w:r>
    </w:p>
    <w:p>
      <w:pPr>
        <w:pStyle w:val="3"/>
        <w:spacing w:before="173" w:line="219" w:lineRule="auto"/>
        <w:ind w:left="180"/>
      </w:pPr>
      <w:r>
        <w:rPr>
          <w:spacing w:val="-12"/>
        </w:rPr>
        <w:t>●组态冗余：诱导区域内抗损毁配置，完全设备故障容错范围≥80m;</w:t>
      </w:r>
    </w:p>
    <w:p>
      <w:pPr>
        <w:pStyle w:val="3"/>
        <w:spacing w:before="174" w:line="219" w:lineRule="auto"/>
        <w:ind w:left="180"/>
      </w:pPr>
      <w:r>
        <w:rPr>
          <w:spacing w:val="-1"/>
        </w:rPr>
        <w:t>●通信冗余：双通信模组；广播与链式接续并行冗余通信模式(*</w:t>
      </w:r>
      <w:r>
        <w:rPr>
          <w:spacing w:val="-2"/>
        </w:rPr>
        <w:t>);</w:t>
      </w:r>
    </w:p>
    <w:p>
      <w:pPr>
        <w:pStyle w:val="3"/>
        <w:spacing w:before="161" w:line="219" w:lineRule="auto"/>
        <w:ind w:left="180"/>
      </w:pPr>
      <w:r>
        <w:rPr>
          <w:spacing w:val="-14"/>
        </w:rPr>
        <w:t>●远程控制：基于上位机/云平台/APP 的控制指令；</w:t>
      </w:r>
    </w:p>
    <w:p>
      <w:pPr>
        <w:pStyle w:val="3"/>
        <w:spacing w:before="184" w:line="219" w:lineRule="auto"/>
        <w:ind w:left="180"/>
      </w:pPr>
      <w:r>
        <w:rPr>
          <w:spacing w:val="-12"/>
        </w:rPr>
        <w:t>●星历控制：支持基于本地日出日落时间的自动控制；</w:t>
      </w:r>
    </w:p>
    <w:p>
      <w:pPr>
        <w:pStyle w:val="3"/>
        <w:spacing w:before="153" w:line="219" w:lineRule="auto"/>
        <w:ind w:left="180"/>
      </w:pPr>
      <w:r>
        <w:rPr>
          <w:spacing w:val="-12"/>
        </w:rPr>
        <w:t>●控制模式：支持星历控制、气象环境参数白动联动控制、上位机/平台/APP。</w:t>
      </w:r>
    </w:p>
    <w:p>
      <w:pPr>
        <w:pStyle w:val="3"/>
        <w:spacing w:before="184" w:line="219" w:lineRule="auto"/>
      </w:pPr>
      <w:r>
        <w:rPr>
          <w:spacing w:val="13"/>
        </w:rPr>
        <w:t>6)供电要求</w:t>
      </w:r>
    </w:p>
    <w:p>
      <w:pPr>
        <w:pStyle w:val="3"/>
        <w:spacing w:before="175" w:line="219" w:lineRule="auto"/>
        <w:ind w:left="180"/>
      </w:pPr>
      <w:r>
        <w:rPr>
          <w:spacing w:val="-7"/>
        </w:rPr>
        <w:t>●功耗：不大于3W;</w:t>
      </w:r>
    </w:p>
    <w:p>
      <w:pPr>
        <w:pStyle w:val="3"/>
        <w:spacing w:before="151" w:line="219" w:lineRule="auto"/>
        <w:ind w:left="180"/>
      </w:pPr>
      <w:r>
        <w:rPr>
          <w:spacing w:val="-9"/>
        </w:rPr>
        <w:t>●市电供电版本的智能诱导装置输入电压：24~48V</w:t>
      </w:r>
      <w:r>
        <w:rPr>
          <w:spacing w:val="101"/>
        </w:rPr>
        <w:t xml:space="preserve"> </w:t>
      </w:r>
      <w:r>
        <w:rPr>
          <w:spacing w:val="-9"/>
        </w:rPr>
        <w:t>DC。</w:t>
      </w:r>
    </w:p>
    <w:p>
      <w:pPr>
        <w:pStyle w:val="3"/>
        <w:spacing w:before="196" w:line="219" w:lineRule="auto"/>
      </w:pPr>
      <w:r>
        <w:rPr>
          <w:spacing w:val="16"/>
        </w:rPr>
        <w:t>7)质检要求</w:t>
      </w:r>
    </w:p>
    <w:p>
      <w:pPr>
        <w:pStyle w:val="3"/>
        <w:spacing w:before="161" w:line="304" w:lineRule="auto"/>
        <w:ind w:left="180" w:right="68"/>
      </w:pPr>
      <w:r>
        <w:rPr>
          <w:spacing w:val="-9"/>
        </w:rPr>
        <w:t>●智能诱导装置须经国家交通安全设施质量监督检验中心或公安部交通安全产品质量监督检</w:t>
      </w:r>
      <w:r>
        <w:rPr>
          <w:spacing w:val="9"/>
        </w:rPr>
        <w:t xml:space="preserve"> </w:t>
      </w:r>
      <w:r>
        <w:rPr>
          <w:spacing w:val="-6"/>
        </w:rPr>
        <w:t>测中心按照《雾天公路行车安全诱导装置》(JT/T 1032-2016)交通行业标准检测合格，并取</w:t>
      </w:r>
      <w:r>
        <w:rPr>
          <w:spacing w:val="18"/>
        </w:rPr>
        <w:t xml:space="preserve"> </w:t>
      </w:r>
      <w:r>
        <w:rPr>
          <w:spacing w:val="-12"/>
        </w:rPr>
        <w:t>得有效的检测报告；</w:t>
      </w:r>
    </w:p>
    <w:p>
      <w:pPr>
        <w:pStyle w:val="3"/>
        <w:spacing w:before="165" w:line="218" w:lineRule="auto"/>
        <w:ind w:left="180"/>
      </w:pPr>
      <w:r>
        <w:t>●标注(*)项目，应出具有效的第三方检验检测机构的检测报告(加盖CMA  章</w:t>
      </w:r>
      <w:r>
        <w:rPr>
          <w:spacing w:val="-28"/>
        </w:rPr>
        <w:t xml:space="preserve"> </w:t>
      </w:r>
      <w:r>
        <w:t>)</w:t>
      </w:r>
      <w:r>
        <w:rPr>
          <w:spacing w:val="-52"/>
        </w:rPr>
        <w:t xml:space="preserve"> </w:t>
      </w:r>
      <w:r>
        <w:t>。</w:t>
      </w:r>
    </w:p>
    <w:p/>
    <w:p/>
    <w:p/>
    <w:p/>
    <w:p/>
    <w:p/>
    <w:p/>
    <w:p/>
    <w:p/>
    <w:p/>
    <w:p/>
    <w:p/>
    <w:p/>
    <w:p>
      <w:pPr>
        <w:pStyle w:val="3"/>
        <w:spacing w:before="82" w:line="219" w:lineRule="auto"/>
        <w:ind w:left="1053"/>
        <w:outlineLvl w:val="0"/>
      </w:pPr>
      <w:r>
        <w:rPr>
          <w:b/>
          <w:bCs/>
          <w:spacing w:val="36"/>
        </w:rPr>
        <w:t>3</w:t>
      </w:r>
      <w:r>
        <w:rPr>
          <w:spacing w:val="-51"/>
        </w:rPr>
        <w:t xml:space="preserve"> </w:t>
      </w:r>
      <w:r>
        <w:rPr>
          <w:b/>
          <w:bCs/>
          <w:spacing w:val="36"/>
        </w:rPr>
        <w:t>.</w:t>
      </w:r>
      <w:r>
        <w:rPr>
          <w:spacing w:val="-57"/>
        </w:rPr>
        <w:t xml:space="preserve"> </w:t>
      </w:r>
      <w:r>
        <w:rPr>
          <w:b/>
          <w:bCs/>
          <w:spacing w:val="36"/>
        </w:rPr>
        <w:t>3能见度/天气现象监测仪</w:t>
      </w:r>
    </w:p>
    <w:p>
      <w:pPr>
        <w:pStyle w:val="3"/>
        <w:spacing w:before="298" w:line="220" w:lineRule="auto"/>
        <w:ind w:left="520"/>
      </w:pPr>
      <w:r>
        <w:rPr>
          <w:spacing w:val="-3"/>
        </w:rPr>
        <w:t>1)测量范围5m—10km</w:t>
      </w:r>
    </w:p>
    <w:p>
      <w:r>
        <w:t>2)测量精度：≤2km, 误差±2% 2Km—10km, 误差±5%</w:t>
      </w:r>
    </w:p>
    <w:p>
      <w:pPr>
        <w:pStyle w:val="3"/>
        <w:spacing w:before="230" w:line="219" w:lineRule="auto"/>
        <w:ind w:left="520"/>
      </w:pPr>
      <w:r>
        <w:rPr>
          <w:spacing w:val="-5"/>
        </w:rPr>
        <w:t>3)天气现象测量种类：雾、雨、雪、混合降水；可按NWS</w:t>
      </w:r>
      <w:r>
        <w:rPr>
          <w:spacing w:val="-58"/>
        </w:rPr>
        <w:t xml:space="preserve"> </w:t>
      </w:r>
      <w:r>
        <w:rPr>
          <w:spacing w:val="-5"/>
        </w:rPr>
        <w:t>天气代码标识</w:t>
      </w:r>
      <w:r>
        <w:rPr>
          <w:spacing w:val="-6"/>
        </w:rPr>
        <w:t>输出</w:t>
      </w:r>
    </w:p>
    <w:p>
      <w:pPr>
        <w:pStyle w:val="3"/>
        <w:spacing w:before="193" w:line="219" w:lineRule="auto"/>
        <w:ind w:left="520"/>
        <w:rPr>
          <w:rFonts w:ascii="Times New Roman" w:hAnsi="Times New Roman" w:eastAsia="Times New Roman" w:cs="Times New Roman"/>
        </w:rPr>
      </w:pPr>
      <w:r>
        <w:rPr>
          <w:spacing w:val="10"/>
        </w:rPr>
        <w:t>4)分辨率：&lt;1</w:t>
      </w:r>
      <w:r>
        <w:rPr>
          <w:rFonts w:ascii="Times New Roman" w:hAnsi="Times New Roman" w:eastAsia="Times New Roman" w:cs="Times New Roman"/>
          <w:spacing w:val="10"/>
        </w:rPr>
        <w:t>m</w:t>
      </w:r>
    </w:p>
    <w:p>
      <w:pPr>
        <w:pStyle w:val="3"/>
        <w:spacing w:before="184" w:line="219" w:lineRule="auto"/>
        <w:ind w:left="520"/>
        <w:rPr>
          <w:rFonts w:ascii="Times New Roman" w:hAnsi="Times New Roman" w:eastAsia="Times New Roman" w:cs="Times New Roman"/>
        </w:rPr>
      </w:pPr>
      <w:r>
        <w:rPr>
          <w:spacing w:val="-6"/>
        </w:rPr>
        <w:t>5)仪器一致性：</w:t>
      </w:r>
      <w:r>
        <w:rPr>
          <w:rFonts w:ascii="Times New Roman" w:hAnsi="Times New Roman" w:eastAsia="Times New Roman" w:cs="Times New Roman"/>
          <w:spacing w:val="-6"/>
        </w:rPr>
        <w:t>≤±4%</w:t>
      </w:r>
    </w:p>
    <w:p>
      <w:pPr>
        <w:pStyle w:val="3"/>
        <w:spacing w:before="214" w:line="220" w:lineRule="auto"/>
        <w:ind w:left="520"/>
        <w:rPr>
          <w:rFonts w:ascii="Times New Roman" w:hAnsi="Times New Roman" w:eastAsia="Times New Roman" w:cs="Times New Roman"/>
        </w:rPr>
      </w:pPr>
      <w:r>
        <w:rPr>
          <w:spacing w:val="2"/>
        </w:rPr>
        <w:t>6)更新时间：15</w:t>
      </w:r>
      <w:r>
        <w:rPr>
          <w:rFonts w:ascii="Times New Roman" w:hAnsi="Times New Roman" w:eastAsia="Times New Roman" w:cs="Times New Roman"/>
          <w:spacing w:val="2"/>
        </w:rPr>
        <w:t xml:space="preserve">s </w:t>
      </w:r>
      <w:r>
        <w:rPr>
          <w:spacing w:val="2"/>
        </w:rPr>
        <w:t>或60</w:t>
      </w:r>
      <w:r>
        <w:rPr>
          <w:rFonts w:ascii="Times New Roman" w:hAnsi="Times New Roman" w:eastAsia="Times New Roman" w:cs="Times New Roman"/>
          <w:spacing w:val="2"/>
        </w:rPr>
        <w:t>s</w:t>
      </w:r>
    </w:p>
    <w:p>
      <w:pPr>
        <w:pStyle w:val="3"/>
        <w:spacing w:before="211" w:line="219" w:lineRule="auto"/>
        <w:ind w:left="520"/>
        <w:rPr>
          <w:rFonts w:ascii="Times New Roman" w:hAnsi="Times New Roman" w:eastAsia="Times New Roman" w:cs="Times New Roman"/>
        </w:rPr>
      </w:pPr>
      <w:r>
        <w:rPr>
          <w:spacing w:val="-11"/>
        </w:rPr>
        <w:t>7)信号输出：4—20</w:t>
      </w:r>
      <w:r>
        <w:rPr>
          <w:rFonts w:ascii="Times New Roman" w:hAnsi="Times New Roman" w:eastAsia="Times New Roman" w:cs="Times New Roman"/>
          <w:spacing w:val="-11"/>
        </w:rPr>
        <w:t>mARS232/RS485/RS422</w:t>
      </w:r>
    </w:p>
    <w:p>
      <w:pPr>
        <w:pStyle w:val="3"/>
        <w:spacing w:before="164" w:line="219" w:lineRule="auto"/>
        <w:ind w:left="520"/>
      </w:pPr>
      <w:r>
        <w:rPr>
          <w:spacing w:val="-2"/>
        </w:rPr>
        <w:t>8)接口：具有RS485/RS232通信接口或以太网数据接口</w:t>
      </w:r>
    </w:p>
    <w:p>
      <w:pPr>
        <w:pStyle w:val="3"/>
        <w:spacing w:before="183" w:line="219" w:lineRule="auto"/>
        <w:ind w:left="520"/>
        <w:rPr>
          <w:rFonts w:ascii="Times New Roman" w:hAnsi="Times New Roman" w:eastAsia="Times New Roman" w:cs="Times New Roman"/>
        </w:rPr>
      </w:pPr>
      <w:r>
        <w:rPr>
          <w:spacing w:val="2"/>
        </w:rPr>
        <w:t>9)功率：小于1</w:t>
      </w:r>
      <w:r>
        <w:rPr>
          <w:rFonts w:ascii="Times New Roman" w:hAnsi="Times New Roman" w:eastAsia="Times New Roman" w:cs="Times New Roman"/>
          <w:spacing w:val="2"/>
        </w:rPr>
        <w:t>W</w:t>
      </w:r>
    </w:p>
    <w:p>
      <w:pPr>
        <w:pStyle w:val="3"/>
        <w:spacing w:before="204" w:line="220" w:lineRule="auto"/>
        <w:ind w:left="520"/>
      </w:pPr>
      <w:r>
        <w:rPr>
          <w:spacing w:val="-5"/>
        </w:rPr>
        <w:t>10)工作温度：-40—+60℃</w:t>
      </w:r>
    </w:p>
    <w:p>
      <w:pPr>
        <w:pStyle w:val="3"/>
        <w:spacing w:before="202" w:line="220" w:lineRule="auto"/>
        <w:ind w:left="520"/>
      </w:pPr>
      <w:r>
        <w:rPr>
          <w:spacing w:val="-5"/>
        </w:rPr>
        <w:t>11)相对湿度：0-100%RH</w:t>
      </w:r>
    </w:p>
    <w:p>
      <w:pPr>
        <w:pStyle w:val="3"/>
        <w:spacing w:before="178" w:line="216" w:lineRule="auto"/>
        <w:ind w:left="520"/>
      </w:pPr>
      <w:r>
        <w:rPr>
          <w:spacing w:val="-3"/>
        </w:rPr>
        <w:t>12)供电电源：12VDC(12-28VDC)</w:t>
      </w:r>
      <w:r>
        <w:rPr>
          <w:spacing w:val="45"/>
        </w:rPr>
        <w:t xml:space="preserve"> </w:t>
      </w:r>
      <w:r>
        <w:rPr>
          <w:spacing w:val="-3"/>
        </w:rPr>
        <w:t>或</w:t>
      </w:r>
      <w:r>
        <w:rPr>
          <w:spacing w:val="-63"/>
        </w:rPr>
        <w:t xml:space="preserve"> </w:t>
      </w:r>
      <w:r>
        <w:rPr>
          <w:spacing w:val="-3"/>
        </w:rPr>
        <w:t>AC220V±15%,50Hz±2Hz</w:t>
      </w:r>
    </w:p>
    <w:p/>
    <w:p/>
    <w:p/>
    <w:p/>
    <w:p/>
    <w:p/>
    <w:p/>
    <w:p/>
    <w:p/>
    <w:p/>
    <w:p/>
    <w:p/>
    <w:p>
      <w:pPr>
        <w:pStyle w:val="2"/>
        <w:bidi w:val="0"/>
        <w:rPr>
          <w:rFonts w:hint="default"/>
          <w:lang w:val="en-US" w:eastAsia="zh-CN"/>
        </w:rPr>
      </w:pPr>
      <w:r>
        <w:rPr>
          <w:rFonts w:hint="eastAsia"/>
          <w:lang w:val="en-US" w:eastAsia="zh-CN"/>
        </w:rPr>
        <w:t>红蓝频闪灯</w:t>
      </w:r>
    </w:p>
    <w:p>
      <w:r>
        <w:drawing>
          <wp:inline distT="0" distB="0" distL="114300" distR="114300">
            <wp:extent cx="5264785" cy="3608705"/>
            <wp:effectExtent l="0" t="0" r="12065" b="1079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5264785" cy="3608705"/>
                    </a:xfrm>
                    <a:prstGeom prst="rect">
                      <a:avLst/>
                    </a:prstGeom>
                    <a:noFill/>
                    <a:ln>
                      <a:noFill/>
                    </a:ln>
                  </pic:spPr>
                </pic:pic>
              </a:graphicData>
            </a:graphic>
          </wp:inline>
        </w:drawing>
      </w:r>
    </w:p>
    <w:p>
      <w:r>
        <w:drawing>
          <wp:inline distT="0" distB="0" distL="114300" distR="114300">
            <wp:extent cx="5269230" cy="3648710"/>
            <wp:effectExtent l="0" t="0" r="7620" b="889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5269230" cy="3648710"/>
                    </a:xfrm>
                    <a:prstGeom prst="rect">
                      <a:avLst/>
                    </a:prstGeom>
                    <a:noFill/>
                    <a:ln>
                      <a:noFill/>
                    </a:ln>
                  </pic:spPr>
                </pic:pic>
              </a:graphicData>
            </a:graphic>
          </wp:inline>
        </w:drawing>
      </w:r>
    </w:p>
    <w:p/>
    <w:p/>
    <w:p/>
    <w:p>
      <w:pPr>
        <w:pStyle w:val="3"/>
        <w:spacing w:before="54" w:line="354" w:lineRule="auto"/>
        <w:ind w:left="0" w:leftChars="0" w:right="-92" w:rightChars="-44" w:firstLine="0" w:firstLineChars="0"/>
        <w:jc w:val="both"/>
      </w:pPr>
      <w:r>
        <w:rPr>
          <w:spacing w:val="-15"/>
        </w:rPr>
        <w:t>1)最大功率：300</w:t>
      </w:r>
      <w:r>
        <w:rPr>
          <w:rFonts w:ascii="Times New Roman" w:hAnsi="Times New Roman" w:eastAsia="Times New Roman" w:cs="Times New Roman"/>
          <w:spacing w:val="-15"/>
        </w:rPr>
        <w:t>W,</w:t>
      </w:r>
      <w:r>
        <w:rPr>
          <w:spacing w:val="-15"/>
        </w:rPr>
        <w:t>输入电压：100</w:t>
      </w:r>
      <w:r>
        <w:rPr>
          <w:rFonts w:ascii="Times New Roman" w:hAnsi="Times New Roman" w:eastAsia="Times New Roman" w:cs="Times New Roman"/>
          <w:spacing w:val="-15"/>
        </w:rPr>
        <w:t>V,</w:t>
      </w:r>
      <w:r>
        <w:rPr>
          <w:spacing w:val="-15"/>
        </w:rPr>
        <w:t>标准阻抗：16</w:t>
      </w:r>
      <w:r>
        <w:rPr>
          <w:rFonts w:ascii="Times New Roman" w:hAnsi="Times New Roman" w:eastAsia="Times New Roman" w:cs="Times New Roman"/>
          <w:spacing w:val="-15"/>
        </w:rPr>
        <w:t>Q,</w:t>
      </w:r>
      <w:r>
        <w:rPr>
          <w:rFonts w:ascii="Times New Roman" w:hAnsi="Times New Roman" w:eastAsia="Times New Roman" w:cs="Times New Roman"/>
          <w:spacing w:val="23"/>
        </w:rPr>
        <w:t xml:space="preserve"> </w:t>
      </w:r>
      <w:r>
        <w:rPr>
          <w:spacing w:val="-15"/>
        </w:rPr>
        <w:t>灵敏度：126</w:t>
      </w:r>
      <w:r>
        <w:rPr>
          <w:rFonts w:ascii="Times New Roman" w:hAnsi="Times New Roman" w:eastAsia="Times New Roman" w:cs="Times New Roman"/>
          <w:spacing w:val="-15"/>
        </w:rPr>
        <w:t>dB,</w:t>
      </w:r>
      <w:r>
        <w:rPr>
          <w:spacing w:val="-15"/>
        </w:rPr>
        <w:t>频率响应：160-</w:t>
      </w:r>
      <w:r>
        <w:rPr>
          <w:spacing w:val="-16"/>
        </w:rPr>
        <w:t>16</w:t>
      </w:r>
      <w:r>
        <w:rPr>
          <w:rFonts w:ascii="Times New Roman" w:hAnsi="Times New Roman" w:eastAsia="Times New Roman" w:cs="Times New Roman"/>
          <w:spacing w:val="-16"/>
        </w:rPr>
        <w:t>KHz,</w:t>
      </w:r>
      <w:r>
        <w:rPr>
          <w:spacing w:val="-16"/>
        </w:rPr>
        <w:t>最大</w:t>
      </w:r>
      <w:r>
        <w:t xml:space="preserve"> </w:t>
      </w:r>
      <w:r>
        <w:rPr>
          <w:spacing w:val="-20"/>
        </w:rPr>
        <w:t>声压级：126</w:t>
      </w:r>
      <w:r>
        <w:rPr>
          <w:rFonts w:ascii="Times New Roman" w:hAnsi="Times New Roman" w:eastAsia="Times New Roman" w:cs="Times New Roman"/>
          <w:spacing w:val="-20"/>
        </w:rPr>
        <w:t xml:space="preserve">(dB), </w:t>
      </w:r>
      <w:r>
        <w:rPr>
          <w:spacing w:val="-20"/>
        </w:rPr>
        <w:t>角度：20×40,尺寸：Φ480*500</w:t>
      </w:r>
      <w:r>
        <w:rPr>
          <w:rFonts w:ascii="Times New Roman" w:hAnsi="Times New Roman" w:eastAsia="Times New Roman" w:cs="Times New Roman"/>
          <w:spacing w:val="-20"/>
        </w:rPr>
        <w:t>MM,</w:t>
      </w:r>
      <w:r>
        <w:rPr>
          <w:spacing w:val="-20"/>
        </w:rPr>
        <w:t>安装方式：吊环，材料：铝合</w:t>
      </w:r>
      <w:r>
        <w:rPr>
          <w:spacing w:val="-21"/>
        </w:rPr>
        <w:t>金。传输距离：500</w:t>
      </w:r>
      <w:r>
        <w:t xml:space="preserve"> </w:t>
      </w:r>
      <w:r>
        <w:rPr>
          <w:spacing w:val="-2"/>
        </w:rPr>
        <w:t>米。</w:t>
      </w:r>
    </w:p>
    <w:p>
      <w:pPr>
        <w:pStyle w:val="3"/>
        <w:spacing w:before="25" w:line="212" w:lineRule="auto"/>
        <w:ind w:left="0" w:leftChars="0" w:right="-92" w:rightChars="-44" w:firstLine="0" w:firstLineChars="0"/>
      </w:pPr>
      <w:r>
        <w:rPr>
          <w:rFonts w:ascii="Times New Roman" w:hAnsi="Times New Roman" w:eastAsia="Times New Roman" w:cs="Times New Roman"/>
          <w:spacing w:val="-3"/>
        </w:rPr>
        <w:t>2)IP</w:t>
      </w:r>
      <w:r>
        <w:rPr>
          <w:rFonts w:ascii="Times New Roman" w:hAnsi="Times New Roman" w:eastAsia="Times New Roman" w:cs="Times New Roman"/>
          <w:spacing w:val="15"/>
          <w:w w:val="101"/>
        </w:rPr>
        <w:t xml:space="preserve">   </w:t>
      </w:r>
      <w:r>
        <w:rPr>
          <w:spacing w:val="-3"/>
        </w:rPr>
        <w:t>网络寻呼话筒</w:t>
      </w:r>
    </w:p>
    <w:p>
      <w:pPr>
        <w:pStyle w:val="3"/>
        <w:spacing w:before="209" w:line="302" w:lineRule="auto"/>
        <w:ind w:left="0" w:leftChars="0" w:right="-92" w:rightChars="-44" w:firstLine="0" w:firstLineChars="0"/>
      </w:pPr>
      <w:r>
        <w:rPr>
          <w:spacing w:val="-9"/>
        </w:rPr>
        <w:t>1、桌面式是数字寻呼话筒，可快速选择终端或分区发起广播，支持一键发起全区广播，支持</w:t>
      </w:r>
      <w:r>
        <w:rPr>
          <w:spacing w:val="12"/>
        </w:rPr>
        <w:t xml:space="preserve"> </w:t>
      </w:r>
      <w:r>
        <w:rPr>
          <w:spacing w:val="-14"/>
        </w:rPr>
        <w:t>全双工双向对讲；</w:t>
      </w:r>
    </w:p>
    <w:p>
      <w:pPr>
        <w:pStyle w:val="3"/>
        <w:spacing w:before="182" w:line="291" w:lineRule="auto"/>
        <w:ind w:left="0" w:leftChars="0" w:right="-92" w:rightChars="-44" w:firstLine="0" w:firstLineChars="0"/>
      </w:pPr>
      <w:r>
        <w:rPr>
          <w:spacing w:val="-5"/>
        </w:rPr>
        <w:t>2、采用ARM架构芯片，性能稳定、操作流畅，支持局域网</w:t>
      </w:r>
      <w:r>
        <w:rPr>
          <w:spacing w:val="-6"/>
        </w:rPr>
        <w:t>及互联网接入。</w:t>
      </w:r>
      <w:r>
        <w:t xml:space="preserve"> </w:t>
      </w:r>
      <w:r>
        <w:rPr>
          <w:spacing w:val="-3"/>
        </w:rPr>
        <w:t>具体参数</w:t>
      </w:r>
    </w:p>
    <w:p>
      <w:pPr>
        <w:pStyle w:val="3"/>
        <w:spacing w:before="191" w:line="295" w:lineRule="auto"/>
        <w:ind w:left="0" w:leftChars="0" w:right="-92" w:rightChars="-44" w:firstLine="0" w:firstLineChars="0"/>
      </w:pPr>
      <w:r>
        <w:rPr>
          <w:spacing w:val="-6"/>
        </w:rPr>
        <w:t>1、采用桌面式话筒设计，带有7英寸电容触</w:t>
      </w:r>
      <w:r>
        <w:rPr>
          <w:spacing w:val="-7"/>
        </w:rPr>
        <w:t>摸显示屏；支持通过触摸呼叫广播及发起对讲；</w:t>
      </w:r>
      <w:r>
        <w:t xml:space="preserve"> </w:t>
      </w:r>
      <w:r>
        <w:rPr>
          <w:spacing w:val="-10"/>
        </w:rPr>
        <w:t>支持呼叫终端及多个终端、呼叫分区及多个分区、呼叫全区广播；</w:t>
      </w:r>
    </w:p>
    <w:p>
      <w:pPr>
        <w:pStyle w:val="3"/>
        <w:spacing w:before="186" w:line="293" w:lineRule="auto"/>
        <w:ind w:left="0" w:leftChars="0" w:right="-92" w:rightChars="-44" w:firstLine="0" w:firstLineChars="0"/>
      </w:pPr>
      <w:r>
        <w:rPr>
          <w:spacing w:val="-1"/>
        </w:rPr>
        <w:t>2、内置≥1路网络硬件音频解码模块，具有1路RJ45</w:t>
      </w:r>
      <w:r>
        <w:rPr>
          <w:spacing w:val="-47"/>
        </w:rPr>
        <w:t xml:space="preserve"> </w:t>
      </w:r>
      <w:r>
        <w:rPr>
          <w:spacing w:val="-1"/>
        </w:rPr>
        <w:t>网络接口，100Mbps传输</w:t>
      </w:r>
      <w:r>
        <w:rPr>
          <w:spacing w:val="-2"/>
        </w:rPr>
        <w:t>速率；</w:t>
      </w:r>
      <w:r>
        <w:t xml:space="preserve"> </w:t>
      </w:r>
      <w:r>
        <w:rPr>
          <w:spacing w:val="-8"/>
        </w:rPr>
        <w:t>3.支持双向对讲功能，内置3</w:t>
      </w:r>
      <w:r>
        <w:rPr>
          <w:rFonts w:ascii="Times New Roman" w:hAnsi="Times New Roman" w:eastAsia="Times New Roman" w:cs="Times New Roman"/>
          <w:spacing w:val="-8"/>
        </w:rPr>
        <w:t>W</w:t>
      </w:r>
      <w:r>
        <w:rPr>
          <w:spacing w:val="-8"/>
        </w:rPr>
        <w:t>全频扬声器，实现双向通话。</w:t>
      </w:r>
    </w:p>
    <w:p>
      <w:pPr>
        <w:pStyle w:val="3"/>
        <w:spacing w:before="153" w:line="362" w:lineRule="auto"/>
        <w:ind w:left="0" w:leftChars="0" w:right="-92" w:rightChars="-44" w:firstLine="0" w:firstLineChars="0"/>
      </w:pPr>
      <w:r>
        <w:rPr>
          <w:spacing w:val="1"/>
        </w:rPr>
        <w:t>4.支持≥1路3.5</w:t>
      </w:r>
      <w:r>
        <w:t>mm</w:t>
      </w:r>
      <w:r>
        <w:rPr>
          <w:spacing w:val="1"/>
        </w:rPr>
        <w:t>音频线路输入，支持采集播放功能；具有≥1路3.5</w:t>
      </w:r>
      <w:r>
        <w:t>mm</w:t>
      </w:r>
      <w:r>
        <w:rPr>
          <w:spacing w:val="1"/>
        </w:rPr>
        <w:t>音频线路输出，可</w:t>
      </w:r>
      <w:r>
        <w:rPr>
          <w:spacing w:val="17"/>
        </w:rPr>
        <w:t xml:space="preserve"> </w:t>
      </w:r>
      <w:r>
        <w:rPr>
          <w:spacing w:val="-2"/>
        </w:rPr>
        <w:t>外接功率放大器。(提供设备线路输入与输出接口佐证图)</w:t>
      </w:r>
    </w:p>
    <w:p>
      <w:pPr>
        <w:pStyle w:val="3"/>
        <w:spacing w:before="3" w:line="368" w:lineRule="auto"/>
        <w:ind w:left="0" w:leftChars="0" w:right="-92" w:rightChars="-44" w:firstLine="0" w:firstLineChars="0"/>
      </w:pPr>
      <w:r>
        <w:rPr>
          <w:spacing w:val="-6"/>
        </w:rPr>
        <w:t>5.支持直接操作呼叫或对讲任意终端，支持通过话筒广播呼叫功能，广播延时低于100毫秒，</w:t>
      </w:r>
      <w:r>
        <w:rPr>
          <w:spacing w:val="17"/>
        </w:rPr>
        <w:t xml:space="preserve"> </w:t>
      </w:r>
      <w:r>
        <w:rPr>
          <w:spacing w:val="-5"/>
        </w:rPr>
        <w:t>支持线路输入采集及U</w:t>
      </w:r>
      <w:r>
        <w:rPr>
          <w:spacing w:val="-40"/>
        </w:rPr>
        <w:t xml:space="preserve"> </w:t>
      </w:r>
      <w:r>
        <w:rPr>
          <w:spacing w:val="-5"/>
        </w:rPr>
        <w:t>盘广播。</w:t>
      </w:r>
    </w:p>
    <w:p>
      <w:pPr>
        <w:pStyle w:val="3"/>
        <w:spacing w:before="1" w:line="299" w:lineRule="auto"/>
        <w:ind w:left="0" w:leftChars="0" w:right="-92" w:rightChars="-44" w:firstLine="0" w:firstLineChars="0"/>
      </w:pPr>
      <w:r>
        <w:rPr>
          <w:spacing w:val="-8"/>
        </w:rPr>
        <w:t>6、支持多种呼叫策略，包括手动转移、无响应转移、占线转移、关机转移；自动接听、手动</w:t>
      </w:r>
      <w:r>
        <w:rPr>
          <w:spacing w:val="18"/>
        </w:rPr>
        <w:t xml:space="preserve"> </w:t>
      </w:r>
      <w:r>
        <w:rPr>
          <w:spacing w:val="-10"/>
        </w:rPr>
        <w:t>接听。</w:t>
      </w:r>
    </w:p>
    <w:p>
      <w:pPr>
        <w:pStyle w:val="3"/>
        <w:spacing w:before="200" w:line="219" w:lineRule="auto"/>
        <w:ind w:left="0" w:leftChars="0" w:right="-92" w:rightChars="-44" w:firstLine="0" w:firstLineChars="0"/>
      </w:pPr>
      <w:r>
        <w:rPr>
          <w:spacing w:val="-9"/>
        </w:rPr>
        <w:t>7、支持用户权限设置，可设置管理和显示指定分区及终端；</w:t>
      </w:r>
    </w:p>
    <w:p>
      <w:pPr>
        <w:pStyle w:val="3"/>
        <w:spacing w:before="183" w:line="219" w:lineRule="auto"/>
        <w:ind w:left="0" w:leftChars="0" w:right="-92" w:rightChars="-44" w:firstLine="0" w:firstLineChars="0"/>
      </w:pPr>
      <w:r>
        <w:rPr>
          <w:spacing w:val="-9"/>
        </w:rPr>
        <w:t>8、支持操作登录密码验证、操作登录密码验证支持开启和</w:t>
      </w:r>
      <w:r>
        <w:rPr>
          <w:spacing w:val="-10"/>
        </w:rPr>
        <w:t>关闭；</w:t>
      </w:r>
    </w:p>
    <w:p>
      <w:pPr>
        <w:pStyle w:val="3"/>
        <w:spacing w:before="192" w:line="219" w:lineRule="auto"/>
        <w:ind w:left="0" w:leftChars="0" w:right="-92" w:rightChars="-44" w:firstLine="0" w:firstLineChars="0"/>
      </w:pPr>
      <w:r>
        <w:rPr>
          <w:spacing w:val="2"/>
        </w:rPr>
        <w:t>9、支持广播提示音开启和关闭选择(提供界面截图);</w:t>
      </w:r>
    </w:p>
    <w:p>
      <w:pPr>
        <w:pStyle w:val="3"/>
        <w:spacing w:before="175" w:line="301" w:lineRule="auto"/>
        <w:ind w:left="0" w:leftChars="0" w:right="-92" w:rightChars="-44" w:firstLine="0" w:firstLineChars="0"/>
      </w:pPr>
      <w:r>
        <w:rPr>
          <w:spacing w:val="-4"/>
        </w:rPr>
        <w:t>10、支持自然灾害、地震广播、自定义1、自定义2四个广播快捷键，长按快捷键可以快速发</w:t>
      </w:r>
      <w:r>
        <w:rPr>
          <w:spacing w:val="17"/>
        </w:rPr>
        <w:t xml:space="preserve"> </w:t>
      </w:r>
      <w:r>
        <w:rPr>
          <w:spacing w:val="6"/>
        </w:rPr>
        <w:t>起设置好的广播任务(提供界面截图);</w:t>
      </w:r>
    </w:p>
    <w:p>
      <w:pPr>
        <w:pStyle w:val="3"/>
        <w:spacing w:before="203" w:line="219" w:lineRule="auto"/>
        <w:ind w:left="0" w:leftChars="0" w:right="-92" w:rightChars="-44" w:firstLine="0" w:firstLineChars="0"/>
      </w:pPr>
      <w:r>
        <w:rPr>
          <w:spacing w:val="-1"/>
        </w:rPr>
        <w:t>11、具有≥1路短路输出接口、≥1路短路</w:t>
      </w:r>
      <w:r>
        <w:rPr>
          <w:spacing w:val="-2"/>
        </w:rPr>
        <w:t>输入接口。(提供设备短路输入与输出接口佐证图)</w:t>
      </w:r>
    </w:p>
    <w:p>
      <w:pPr>
        <w:pStyle w:val="3"/>
        <w:spacing w:before="154" w:line="299" w:lineRule="auto"/>
        <w:ind w:left="0" w:leftChars="0" w:right="-92" w:rightChars="-44" w:firstLine="0" w:firstLineChars="0"/>
      </w:pPr>
      <w:r>
        <w:rPr>
          <w:spacing w:val="-6"/>
        </w:rPr>
        <w:t>12、支</w:t>
      </w:r>
      <w:r>
        <w:rPr>
          <w:spacing w:val="-42"/>
        </w:rPr>
        <w:t xml:space="preserve"> </w:t>
      </w:r>
      <w:r>
        <w:rPr>
          <w:spacing w:val="-6"/>
        </w:rPr>
        <w:t>持WEB 修改和配置话筒参数，包括本机</w:t>
      </w:r>
      <w:r>
        <w:rPr>
          <w:spacing w:val="-24"/>
        </w:rPr>
        <w:t xml:space="preserve"> </w:t>
      </w:r>
      <w:r>
        <w:rPr>
          <w:spacing w:val="-6"/>
        </w:rPr>
        <w:t>IP</w:t>
      </w:r>
      <w:r>
        <w:rPr>
          <w:spacing w:val="-7"/>
        </w:rPr>
        <w:t>、服务器IP、用户权限参数等(提供软件界</w:t>
      </w:r>
      <w:r>
        <w:t xml:space="preserve"> </w:t>
      </w:r>
      <w:r>
        <w:rPr>
          <w:spacing w:val="20"/>
        </w:rPr>
        <w:t>面截图);</w:t>
      </w:r>
    </w:p>
    <w:p>
      <w:pPr>
        <w:pStyle w:val="3"/>
        <w:spacing w:before="190" w:line="300" w:lineRule="auto"/>
        <w:ind w:left="0" w:leftChars="0" w:right="-92" w:rightChars="-44" w:firstLine="0" w:firstLineChars="0"/>
      </w:pPr>
      <w:r>
        <w:rPr>
          <w:spacing w:val="-2"/>
        </w:rPr>
        <w:t>13、支持自定义寻呼话筒是否接收广播，可以手动开启和关闭(提供软件界面截图);</w:t>
      </w:r>
      <w:r>
        <w:rPr>
          <w:spacing w:val="16"/>
        </w:rPr>
        <w:t xml:space="preserve"> </w:t>
      </w:r>
      <w:r>
        <w:rPr>
          <w:spacing w:val="-2"/>
        </w:rPr>
        <w:t>3)IP</w:t>
      </w:r>
      <w:r>
        <w:rPr>
          <w:spacing w:val="49"/>
        </w:rPr>
        <w:t xml:space="preserve"> </w:t>
      </w:r>
      <w:r>
        <w:rPr>
          <w:spacing w:val="-2"/>
        </w:rPr>
        <w:t>网络功放</w:t>
      </w:r>
    </w:p>
    <w:p>
      <w:pPr>
        <w:pStyle w:val="3"/>
        <w:spacing w:before="189" w:line="184" w:lineRule="auto"/>
        <w:ind w:left="0" w:leftChars="0" w:right="-92" w:rightChars="-44" w:firstLine="0" w:firstLineChars="0"/>
        <w:rPr>
          <w:rFonts w:ascii="Arial"/>
          <w:sz w:val="2"/>
        </w:rPr>
      </w:pPr>
      <w:r>
        <w:rPr>
          <w:spacing w:val="-2"/>
        </w:rPr>
        <w:t>1.标配1个100</w:t>
      </w:r>
      <w:r>
        <w:rPr>
          <w:rFonts w:ascii="Times New Roman" w:hAnsi="Times New Roman" w:eastAsia="Times New Roman" w:cs="Times New Roman"/>
          <w:spacing w:val="-2"/>
        </w:rPr>
        <w:t>MRJ45</w:t>
      </w:r>
      <w:r>
        <w:rPr>
          <w:spacing w:val="-2"/>
        </w:rPr>
        <w:t>网络接口，支持局域网与广域网传输</w:t>
      </w:r>
    </w:p>
    <w:p>
      <w:pPr>
        <w:pStyle w:val="3"/>
        <w:spacing w:before="74" w:line="334" w:lineRule="auto"/>
        <w:ind w:left="0" w:leftChars="0" w:right="-92" w:rightChars="-44" w:firstLine="0" w:firstLineChars="0"/>
      </w:pPr>
      <w:r>
        <w:rPr>
          <w:spacing w:val="4"/>
        </w:rPr>
        <w:t>2.设有2路线路输入、2路话筒输入，1路线</w:t>
      </w:r>
      <w:r>
        <w:rPr>
          <w:spacing w:val="3"/>
        </w:rPr>
        <w:t>路输出</w:t>
      </w:r>
      <w:r>
        <w:t xml:space="preserve"> </w:t>
      </w:r>
      <w:r>
        <w:rPr>
          <w:spacing w:val="-4"/>
        </w:rPr>
        <w:t>3.带总音量控制</w:t>
      </w:r>
    </w:p>
    <w:p>
      <w:pPr>
        <w:pStyle w:val="3"/>
        <w:spacing w:before="74" w:line="327" w:lineRule="auto"/>
        <w:ind w:left="0" w:leftChars="0" w:right="-92" w:rightChars="-44" w:firstLine="0" w:firstLineChars="0"/>
      </w:pPr>
      <w:r>
        <w:rPr>
          <w:spacing w:val="-9"/>
        </w:rPr>
        <w:t>4.支持服务器远程管理，远程升级，方便用户管理维护；</w:t>
      </w:r>
      <w:r>
        <w:rPr>
          <w:spacing w:val="7"/>
        </w:rPr>
        <w:t xml:space="preserve"> </w:t>
      </w:r>
      <w:r>
        <w:rPr>
          <w:spacing w:val="-6"/>
        </w:rPr>
        <w:t>5.设有先进短路、过热、过载保护功能</w:t>
      </w:r>
    </w:p>
    <w:p>
      <w:pPr>
        <w:pStyle w:val="3"/>
        <w:spacing w:before="95" w:line="334" w:lineRule="auto"/>
        <w:ind w:left="0" w:leftChars="0" w:right="-92" w:rightChars="-44" w:firstLine="0" w:firstLineChars="0"/>
      </w:pPr>
      <w:r>
        <w:rPr>
          <w:spacing w:val="-6"/>
        </w:rPr>
        <w:t>6.具有信号指示、削峰指示、保护指示功能</w:t>
      </w:r>
      <w:r>
        <w:rPr>
          <w:spacing w:val="1"/>
        </w:rPr>
        <w:t xml:space="preserve"> </w:t>
      </w:r>
      <w:r>
        <w:rPr>
          <w:spacing w:val="-11"/>
        </w:rPr>
        <w:t>技术参数：</w:t>
      </w:r>
    </w:p>
    <w:p>
      <w:pPr>
        <w:pStyle w:val="3"/>
        <w:spacing w:before="63" w:line="359" w:lineRule="auto"/>
        <w:ind w:left="0" w:leftChars="0" w:right="-92" w:rightChars="-44" w:firstLine="0" w:firstLineChars="0"/>
        <w:jc w:val="both"/>
        <w:rPr>
          <w:rFonts w:ascii="Times New Roman" w:hAnsi="Times New Roman" w:eastAsia="Times New Roman" w:cs="Times New Roman"/>
        </w:rPr>
      </w:pPr>
      <w:r>
        <w:rPr>
          <w:spacing w:val="-6"/>
        </w:rPr>
        <w:t>1.输出额定功率：360W</w:t>
      </w:r>
      <w:r>
        <w:t xml:space="preserve"> </w:t>
      </w:r>
      <w:r>
        <w:rPr>
          <w:spacing w:val="-6"/>
        </w:rPr>
        <w:t>2.定压输出：</w:t>
      </w:r>
      <w:r>
        <w:rPr>
          <w:rFonts w:ascii="Times New Roman" w:hAnsi="Times New Roman" w:eastAsia="Times New Roman" w:cs="Times New Roman"/>
          <w:spacing w:val="-6"/>
        </w:rPr>
        <w:t>100V±5%</w:t>
      </w:r>
      <w:r>
        <w:rPr>
          <w:rFonts w:ascii="Times New Roman" w:hAnsi="Times New Roman" w:eastAsia="Times New Roman" w:cs="Times New Roman"/>
          <w:spacing w:val="5"/>
        </w:rPr>
        <w:t xml:space="preserve"> </w:t>
      </w:r>
      <w:r>
        <w:rPr>
          <w:spacing w:val="-5"/>
        </w:rPr>
        <w:t>3.输出模式：定压输出</w:t>
      </w:r>
      <w:r>
        <w:rPr>
          <w:spacing w:val="3"/>
        </w:rPr>
        <w:t xml:space="preserve"> </w:t>
      </w:r>
      <w:r>
        <w:rPr>
          <w:rFonts w:ascii="Times New Roman" w:hAnsi="Times New Roman" w:eastAsia="Times New Roman" w:cs="Times New Roman"/>
          <w:spacing w:val="4"/>
        </w:rPr>
        <w:t xml:space="preserve">4. </w:t>
      </w:r>
      <w:r>
        <w:rPr>
          <w:spacing w:val="4"/>
        </w:rPr>
        <w:t>网络接口：1组</w:t>
      </w:r>
      <w:r>
        <w:rPr>
          <w:rFonts w:ascii="Times New Roman" w:hAnsi="Times New Roman" w:eastAsia="Times New Roman" w:cs="Times New Roman"/>
        </w:rPr>
        <w:t>RJ</w:t>
      </w:r>
      <w:r>
        <w:rPr>
          <w:rFonts w:ascii="Times New Roman" w:hAnsi="Times New Roman" w:eastAsia="Times New Roman" w:cs="Times New Roman"/>
          <w:spacing w:val="4"/>
        </w:rPr>
        <w:t>45</w:t>
      </w:r>
    </w:p>
    <w:p>
      <w:pPr>
        <w:pStyle w:val="3"/>
        <w:spacing w:line="212" w:lineRule="auto"/>
        <w:ind w:left="0" w:leftChars="0" w:right="-92" w:rightChars="-44" w:firstLine="0" w:firstLineChars="0"/>
        <w:rPr>
          <w:rFonts w:ascii="Times New Roman" w:hAnsi="Times New Roman" w:eastAsia="Times New Roman" w:cs="Times New Roman"/>
        </w:rPr>
      </w:pPr>
      <w:r>
        <w:rPr>
          <w:spacing w:val="-7"/>
        </w:rPr>
        <w:t>5.传输速率：100</w:t>
      </w:r>
      <w:r>
        <w:rPr>
          <w:rFonts w:ascii="Times New Roman" w:hAnsi="Times New Roman" w:eastAsia="Times New Roman" w:cs="Times New Roman"/>
          <w:spacing w:val="-7"/>
        </w:rPr>
        <w:t>Mbps/10Mbps</w:t>
      </w:r>
    </w:p>
    <w:p>
      <w:pPr>
        <w:pStyle w:val="3"/>
        <w:spacing w:before="214" w:line="212" w:lineRule="auto"/>
        <w:ind w:left="0" w:leftChars="0" w:right="-92" w:rightChars="-44" w:firstLine="0" w:firstLineChars="0"/>
      </w:pPr>
      <w:r>
        <w:rPr>
          <w:spacing w:val="-9"/>
        </w:rPr>
        <w:t>6.支持协议：</w:t>
      </w:r>
      <w:r>
        <w:rPr>
          <w:rFonts w:ascii="Times New Roman" w:hAnsi="Times New Roman" w:eastAsia="Times New Roman" w:cs="Times New Roman"/>
          <w:spacing w:val="-9"/>
        </w:rPr>
        <w:t>TCP/IP,UDP,IGMP</w:t>
      </w:r>
      <w:r>
        <w:rPr>
          <w:spacing w:val="-9"/>
        </w:rPr>
        <w:t>(组播)</w:t>
      </w:r>
    </w:p>
    <w:p>
      <w:pPr>
        <w:pStyle w:val="3"/>
        <w:spacing w:before="192" w:line="361" w:lineRule="auto"/>
        <w:ind w:left="0" w:leftChars="0" w:right="-92" w:rightChars="-44" w:firstLine="0" w:firstLineChars="0"/>
      </w:pPr>
      <w:r>
        <w:rPr>
          <w:spacing w:val="-8"/>
        </w:rPr>
        <w:t>7.</w:t>
      </w:r>
      <w:r>
        <w:rPr>
          <w:spacing w:val="-58"/>
        </w:rPr>
        <w:t xml:space="preserve"> </w:t>
      </w:r>
      <w:r>
        <w:rPr>
          <w:spacing w:val="-8"/>
        </w:rPr>
        <w:t>电源：AC190～240V/50Hz</w:t>
      </w:r>
      <w:r>
        <w:t xml:space="preserve"> </w:t>
      </w:r>
      <w:r>
        <w:rPr>
          <w:spacing w:val="3"/>
        </w:rPr>
        <w:t>8.工作温度：-10℃~60℃</w:t>
      </w:r>
    </w:p>
    <w:p>
      <w:pPr>
        <w:pStyle w:val="3"/>
        <w:spacing w:before="2" w:line="361" w:lineRule="auto"/>
        <w:ind w:left="0" w:leftChars="0" w:right="-92" w:rightChars="-44" w:firstLine="0" w:firstLineChars="0"/>
        <w:rPr>
          <w:rFonts w:ascii="Times New Roman" w:hAnsi="Times New Roman" w:eastAsia="Times New Roman" w:cs="Times New Roman"/>
        </w:rPr>
      </w:pPr>
      <w:r>
        <w:rPr>
          <w:spacing w:val="-5"/>
        </w:rPr>
        <w:t>9.工作湿度：20%～80%相对湿度，无结露</w:t>
      </w:r>
      <w:r>
        <w:t xml:space="preserve"> </w:t>
      </w:r>
      <w:r>
        <w:rPr>
          <w:spacing w:val="-8"/>
        </w:rPr>
        <w:t>10.尺寸：485*88*400*1.2</w:t>
      </w:r>
      <w:r>
        <w:rPr>
          <w:rFonts w:ascii="Times New Roman" w:hAnsi="Times New Roman" w:eastAsia="Times New Roman" w:cs="Times New Roman"/>
          <w:spacing w:val="-8"/>
        </w:rPr>
        <w:t>mm</w:t>
      </w:r>
    </w:p>
    <w:p>
      <w:pPr>
        <w:ind w:left="0" w:leftChars="0" w:right="-92" w:rightChars="-44" w:firstLine="0" w:firstLineChars="0"/>
      </w:pPr>
    </w:p>
    <w:p>
      <w:pPr>
        <w:pStyle w:val="3"/>
        <w:spacing w:before="247" w:line="219" w:lineRule="auto"/>
        <w:ind w:left="1003"/>
        <w:outlineLvl w:val="6"/>
      </w:pPr>
      <w:r>
        <w:rPr>
          <w:b/>
          <w:bCs/>
          <w:spacing w:val="29"/>
        </w:rPr>
        <w:t>3</w:t>
      </w:r>
      <w:r>
        <w:rPr>
          <w:spacing w:val="-55"/>
        </w:rPr>
        <w:t xml:space="preserve"> </w:t>
      </w:r>
      <w:r>
        <w:rPr>
          <w:b/>
          <w:bCs/>
          <w:spacing w:val="29"/>
        </w:rPr>
        <w:t>.</w:t>
      </w:r>
      <w:r>
        <w:rPr>
          <w:spacing w:val="-67"/>
        </w:rPr>
        <w:t xml:space="preserve"> </w:t>
      </w:r>
      <w:r>
        <w:rPr>
          <w:b/>
          <w:bCs/>
          <w:spacing w:val="29"/>
        </w:rPr>
        <w:t>7公路防疲劳激光预警系统技术参数</w:t>
      </w:r>
    </w:p>
    <w:p>
      <w:pPr>
        <w:pStyle w:val="3"/>
        <w:spacing w:before="287" w:line="219" w:lineRule="auto"/>
        <w:ind w:left="480"/>
      </w:pPr>
      <w:r>
        <w:rPr>
          <w:spacing w:val="-8"/>
        </w:rPr>
        <w:t>高速公路路面平直、固定参照物少，驾驶人员驾车时动作单</w:t>
      </w:r>
      <w:r>
        <w:rPr>
          <w:spacing w:val="-9"/>
        </w:rPr>
        <w:t>调视线单一，长时间在这样的条件</w:t>
      </w:r>
    </w:p>
    <w:p>
      <w:pPr>
        <w:pStyle w:val="3"/>
        <w:spacing w:before="192" w:line="349" w:lineRule="auto"/>
        <w:ind w:right="84" w:firstLine="480"/>
      </w:pPr>
      <w:r>
        <w:rPr>
          <w:spacing w:val="-8"/>
        </w:rPr>
        <w:t>下驾车容易犯困，夏季更加明显，白天高温消耗人的体力，货运司机常在夜间长途行车，容易</w:t>
      </w:r>
      <w:r>
        <w:rPr>
          <w:spacing w:val="2"/>
        </w:rPr>
        <w:t xml:space="preserve"> </w:t>
      </w:r>
      <w:r>
        <w:rPr>
          <w:spacing w:val="-9"/>
        </w:rPr>
        <w:t>疲劳驾驶，疲劳驾驶也成为了高速公路交管部门预防和打击的重点违法行为。</w:t>
      </w:r>
    </w:p>
    <w:p>
      <w:pPr>
        <w:pStyle w:val="3"/>
        <w:spacing w:before="33" w:line="356" w:lineRule="auto"/>
        <w:ind w:right="100" w:firstLine="480"/>
      </w:pPr>
      <w:r>
        <w:rPr>
          <w:spacing w:val="-4"/>
        </w:rPr>
        <w:t>激光提示系统，可通过光线的变化刺激，从而改变单一的行车环境带来的视觉疲劳，经过多</w:t>
      </w:r>
      <w:r>
        <w:rPr>
          <w:spacing w:val="2"/>
        </w:rPr>
        <w:t xml:space="preserve"> </w:t>
      </w:r>
      <w:r>
        <w:rPr>
          <w:spacing w:val="-8"/>
        </w:rPr>
        <w:t>次实地勘察和集中论证，高速交警将激光提示系统设置在路线相对平直且容易引发疲劳驾驶的路</w:t>
      </w:r>
      <w:r>
        <w:rPr>
          <w:spacing w:val="7"/>
        </w:rPr>
        <w:t xml:space="preserve">  </w:t>
      </w:r>
      <w:r>
        <w:rPr>
          <w:spacing w:val="-8"/>
        </w:rPr>
        <w:t>段，并将激光调整到既保证亮度的同时，又对视觉起到一</w:t>
      </w:r>
      <w:r>
        <w:rPr>
          <w:spacing w:val="-9"/>
        </w:rPr>
        <w:t>定的冲击作用，激光提示系统有常开，频</w:t>
      </w:r>
      <w:r>
        <w:t xml:space="preserve"> </w:t>
      </w:r>
      <w:r>
        <w:rPr>
          <w:spacing w:val="10"/>
        </w:rPr>
        <w:t>闪，跑马灯，联动多种形式，射程有2~3公里。</w:t>
      </w:r>
    </w:p>
    <w:p>
      <w:pPr>
        <w:pStyle w:val="3"/>
        <w:spacing w:before="33" w:line="354" w:lineRule="auto"/>
        <w:ind w:right="95" w:firstLine="480"/>
      </w:pPr>
      <w:r>
        <w:rPr>
          <w:spacing w:val="-5"/>
        </w:rPr>
        <w:t>采用进口LD 作光源，此类光源可靠性高，寿命长、全天候使用、维护简单、外观体积小</w:t>
      </w:r>
      <w:r>
        <w:rPr>
          <w:spacing w:val="-6"/>
        </w:rPr>
        <w:t>、安</w:t>
      </w:r>
      <w:r>
        <w:t xml:space="preserve"> </w:t>
      </w:r>
      <w:r>
        <w:rPr>
          <w:spacing w:val="-4"/>
        </w:rPr>
        <w:t>装简单容易等。系统经过科学的激光光路设计；结合高效率的介质膜反射镜，造出最佳的</w:t>
      </w:r>
      <w:r>
        <w:rPr>
          <w:spacing w:val="-5"/>
        </w:rPr>
        <w:t>视觉效</w:t>
      </w:r>
      <w:r>
        <w:t xml:space="preserve"> </w:t>
      </w:r>
      <w:r>
        <w:rPr>
          <w:spacing w:val="-13"/>
        </w:rPr>
        <w:t>果。</w:t>
      </w:r>
    </w:p>
    <w:p>
      <w:pPr>
        <w:pStyle w:val="3"/>
        <w:spacing w:before="42" w:line="219" w:lineRule="auto"/>
        <w:ind w:left="480"/>
      </w:pPr>
      <w:r>
        <w:rPr>
          <w:spacing w:val="-8"/>
        </w:rPr>
        <w:t>1. 供电系统。</w:t>
      </w:r>
    </w:p>
    <w:p>
      <w:pPr>
        <w:pStyle w:val="3"/>
        <w:spacing w:before="41" w:line="219" w:lineRule="auto"/>
        <w:ind w:left="530"/>
      </w:pPr>
      <w:r>
        <w:rPr>
          <w:spacing w:val="-5"/>
        </w:rPr>
        <w:t>2.系统保护功能：过压保护、过流保护、漏电保护、防水。</w:t>
      </w:r>
    </w:p>
    <w:p>
      <w:pPr>
        <w:pStyle w:val="3"/>
        <w:spacing w:before="172" w:line="355" w:lineRule="auto"/>
        <w:ind w:left="530" w:right="6174"/>
      </w:pPr>
      <w:r>
        <w:rPr>
          <w:spacing w:val="-8"/>
        </w:rPr>
        <w:t>3. 自动开启和关闭，无需人员值守。</w:t>
      </w:r>
      <w:r>
        <w:rPr>
          <w:spacing w:val="3"/>
        </w:rPr>
        <w:t xml:space="preserve"> </w:t>
      </w:r>
      <w:r>
        <w:t>4.手机远程控制。</w:t>
      </w:r>
    </w:p>
    <w:p>
      <w:pPr>
        <w:spacing w:line="93" w:lineRule="exact"/>
      </w:pPr>
    </w:p>
    <w:tbl>
      <w:tblPr>
        <w:tblStyle w:val="7"/>
        <w:tblW w:w="7919" w:type="dxa"/>
        <w:tblInd w:w="6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62"/>
        <w:gridCol w:w="625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1662" w:type="dxa"/>
            <w:vAlign w:val="top"/>
          </w:tcPr>
          <w:p>
            <w:pPr>
              <w:pStyle w:val="6"/>
              <w:spacing w:before="170" w:line="219" w:lineRule="auto"/>
              <w:ind w:left="637"/>
            </w:pPr>
            <w:r>
              <w:rPr>
                <w:b/>
                <w:bCs/>
                <w:spacing w:val="11"/>
              </w:rPr>
              <w:t>顶自</w:t>
            </w:r>
          </w:p>
        </w:tc>
        <w:tc>
          <w:tcPr>
            <w:tcW w:w="6257" w:type="dxa"/>
            <w:vAlign w:val="top"/>
          </w:tcPr>
          <w:p>
            <w:pPr>
              <w:pStyle w:val="6"/>
              <w:spacing w:before="170" w:line="219" w:lineRule="auto"/>
              <w:ind w:left="2555"/>
            </w:pPr>
            <w:r>
              <w:rPr>
                <w:b/>
                <w:bCs/>
                <w:spacing w:val="-3"/>
              </w:rPr>
              <w:t>激光提示系统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662" w:type="dxa"/>
            <w:vAlign w:val="top"/>
          </w:tcPr>
          <w:p>
            <w:pPr>
              <w:pStyle w:val="6"/>
              <w:spacing w:before="176" w:line="219" w:lineRule="auto"/>
              <w:ind w:left="447"/>
            </w:pPr>
            <w:r>
              <w:rPr>
                <w:b/>
                <w:bCs/>
                <w:spacing w:val="-4"/>
              </w:rPr>
              <w:t>激光功率</w:t>
            </w:r>
          </w:p>
        </w:tc>
        <w:tc>
          <w:tcPr>
            <w:tcW w:w="6257" w:type="dxa"/>
            <w:vAlign w:val="top"/>
          </w:tcPr>
          <w:p>
            <w:pPr>
              <w:pStyle w:val="6"/>
              <w:spacing w:before="197" w:line="237" w:lineRule="auto"/>
              <w:ind w:left="2932"/>
            </w:pPr>
            <w:r>
              <w:rPr>
                <w:spacing w:val="-7"/>
              </w:rPr>
              <w:t>≥2w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662" w:type="dxa"/>
            <w:vAlign w:val="top"/>
          </w:tcPr>
          <w:p>
            <w:pPr>
              <w:pStyle w:val="6"/>
              <w:spacing w:before="177" w:line="219" w:lineRule="auto"/>
              <w:ind w:left="447"/>
            </w:pPr>
            <w:r>
              <w:rPr>
                <w:b/>
                <w:bCs/>
                <w:spacing w:val="-4"/>
              </w:rPr>
              <w:t>激光颜色</w:t>
            </w:r>
          </w:p>
        </w:tc>
        <w:tc>
          <w:tcPr>
            <w:tcW w:w="6257" w:type="dxa"/>
            <w:vAlign w:val="top"/>
          </w:tcPr>
          <w:p>
            <w:pPr>
              <w:pStyle w:val="6"/>
              <w:spacing w:before="180" w:line="221" w:lineRule="auto"/>
              <w:ind w:left="2932"/>
            </w:pPr>
            <w:r>
              <w:rPr>
                <w:spacing w:val="-3"/>
              </w:rPr>
              <w:t>绿色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662" w:type="dxa"/>
            <w:vAlign w:val="top"/>
          </w:tcPr>
          <w:p>
            <w:pPr>
              <w:pStyle w:val="6"/>
              <w:spacing w:before="178" w:line="219" w:lineRule="auto"/>
              <w:ind w:left="447"/>
            </w:pPr>
            <w:r>
              <w:rPr>
                <w:b/>
                <w:bCs/>
                <w:spacing w:val="-4"/>
              </w:rPr>
              <w:t>耗电功率</w:t>
            </w:r>
          </w:p>
        </w:tc>
        <w:tc>
          <w:tcPr>
            <w:tcW w:w="6257" w:type="dxa"/>
            <w:vAlign w:val="top"/>
          </w:tcPr>
          <w:p>
            <w:pPr>
              <w:pStyle w:val="6"/>
              <w:spacing w:before="199"/>
              <w:ind w:left="2932"/>
            </w:pPr>
            <w:r>
              <w:rPr>
                <w:spacing w:val="-3"/>
              </w:rPr>
              <w:t>&lt;30W</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662" w:type="dxa"/>
            <w:vAlign w:val="top"/>
          </w:tcPr>
          <w:p>
            <w:pPr>
              <w:pStyle w:val="6"/>
              <w:spacing w:before="168" w:line="219" w:lineRule="auto"/>
              <w:ind w:left="447"/>
            </w:pPr>
            <w:r>
              <w:rPr>
                <w:b/>
                <w:bCs/>
                <w:spacing w:val="-4"/>
              </w:rPr>
              <w:t>激光光班</w:t>
            </w:r>
          </w:p>
        </w:tc>
        <w:tc>
          <w:tcPr>
            <w:tcW w:w="6257" w:type="dxa"/>
            <w:vAlign w:val="top"/>
          </w:tcPr>
          <w:p>
            <w:pPr>
              <w:pStyle w:val="6"/>
              <w:spacing w:before="168" w:line="216" w:lineRule="auto"/>
              <w:ind w:left="1983"/>
            </w:pPr>
            <w:r>
              <w:rPr>
                <w:spacing w:val="-1"/>
              </w:rPr>
              <w:t>直径小于5mm,发散角&lt;3mrad</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662" w:type="dxa"/>
            <w:vAlign w:val="top"/>
          </w:tcPr>
          <w:p>
            <w:pPr>
              <w:pStyle w:val="6"/>
              <w:spacing w:before="192" w:line="220" w:lineRule="auto"/>
              <w:ind w:left="445"/>
            </w:pPr>
            <w:r>
              <w:rPr>
                <w:spacing w:val="-2"/>
              </w:rPr>
              <w:t>工作电压</w:t>
            </w:r>
          </w:p>
        </w:tc>
        <w:tc>
          <w:tcPr>
            <w:tcW w:w="6257" w:type="dxa"/>
            <w:vAlign w:val="top"/>
          </w:tcPr>
          <w:p>
            <w:pPr>
              <w:pStyle w:val="6"/>
              <w:spacing w:before="197" w:line="224" w:lineRule="auto"/>
              <w:ind w:left="2362"/>
            </w:pPr>
            <w:r>
              <w:rPr>
                <w:spacing w:val="-1"/>
              </w:rPr>
              <w:t>220V±20%50/60HZ</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662" w:type="dxa"/>
            <w:vAlign w:val="top"/>
          </w:tcPr>
          <w:p>
            <w:pPr>
              <w:pStyle w:val="6"/>
              <w:spacing w:before="212" w:line="219" w:lineRule="auto"/>
              <w:ind w:left="355"/>
            </w:pPr>
            <w:r>
              <w:rPr>
                <w:spacing w:val="-1"/>
              </w:rPr>
              <w:t>激光安全等级</w:t>
            </w:r>
          </w:p>
        </w:tc>
        <w:tc>
          <w:tcPr>
            <w:tcW w:w="6257" w:type="dxa"/>
            <w:vAlign w:val="top"/>
          </w:tcPr>
          <w:p>
            <w:pPr>
              <w:pStyle w:val="6"/>
              <w:spacing w:before="259" w:line="185" w:lineRule="auto"/>
              <w:ind w:left="2782"/>
            </w:pPr>
            <w:r>
              <w:rPr>
                <w:spacing w:val="-1"/>
              </w:rPr>
              <w:t>CLASS</w:t>
            </w:r>
            <w:r>
              <w:rPr>
                <w:spacing w:val="6"/>
              </w:rPr>
              <w:t xml:space="preserve"> </w:t>
            </w:r>
            <w:r>
              <w:rPr>
                <w:spacing w:val="-1"/>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662" w:type="dxa"/>
            <w:vAlign w:val="top"/>
          </w:tcPr>
          <w:p>
            <w:pPr>
              <w:pStyle w:val="6"/>
              <w:spacing w:before="184" w:line="220" w:lineRule="auto"/>
              <w:ind w:left="445"/>
            </w:pPr>
            <w:r>
              <w:rPr>
                <w:spacing w:val="-2"/>
              </w:rPr>
              <w:t>保护功能</w:t>
            </w:r>
          </w:p>
        </w:tc>
        <w:tc>
          <w:tcPr>
            <w:tcW w:w="6257" w:type="dxa"/>
            <w:vAlign w:val="top"/>
          </w:tcPr>
          <w:p>
            <w:pPr>
              <w:pStyle w:val="6"/>
              <w:spacing w:before="184" w:line="220" w:lineRule="auto"/>
              <w:ind w:left="1743"/>
            </w:pPr>
            <w:r>
              <w:rPr>
                <w:spacing w:val="4"/>
              </w:rPr>
              <w:t>过压保护，过流保护；澜电保护.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662" w:type="dxa"/>
            <w:vAlign w:val="top"/>
          </w:tcPr>
          <w:p>
            <w:pPr>
              <w:pStyle w:val="6"/>
              <w:spacing w:before="214" w:line="219" w:lineRule="auto"/>
              <w:ind w:left="535"/>
            </w:pPr>
            <w:r>
              <w:t>IP</w:t>
            </w:r>
            <w:r>
              <w:rPr>
                <w:spacing w:val="5"/>
              </w:rPr>
              <w:t>等级</w:t>
            </w:r>
          </w:p>
        </w:tc>
        <w:tc>
          <w:tcPr>
            <w:tcW w:w="6257" w:type="dxa"/>
            <w:vAlign w:val="top"/>
          </w:tcPr>
          <w:p>
            <w:pPr>
              <w:pStyle w:val="6"/>
              <w:spacing w:before="234" w:line="219" w:lineRule="auto"/>
              <w:ind w:left="2173"/>
            </w:pPr>
            <w:r>
              <w:t>防水防尘达到IP65以上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662" w:type="dxa"/>
            <w:vAlign w:val="top"/>
          </w:tcPr>
          <w:p>
            <w:pPr>
              <w:pStyle w:val="6"/>
              <w:spacing w:before="205" w:line="221" w:lineRule="auto"/>
              <w:ind w:left="445"/>
            </w:pPr>
            <w:r>
              <w:rPr>
                <w:spacing w:val="-2"/>
              </w:rPr>
              <w:t>冷却方式</w:t>
            </w:r>
          </w:p>
        </w:tc>
        <w:tc>
          <w:tcPr>
            <w:tcW w:w="6257" w:type="dxa"/>
            <w:vAlign w:val="top"/>
          </w:tcPr>
          <w:p>
            <w:pPr>
              <w:pStyle w:val="6"/>
              <w:spacing w:before="225" w:line="220" w:lineRule="auto"/>
              <w:ind w:left="2932"/>
            </w:pPr>
            <w:r>
              <w:rPr>
                <w:spacing w:val="-3"/>
              </w:rPr>
              <w:t>风冷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trPr>
        <w:tc>
          <w:tcPr>
            <w:tcW w:w="1662" w:type="dxa"/>
            <w:vAlign w:val="top"/>
          </w:tcPr>
          <w:p>
            <w:pPr>
              <w:pStyle w:val="6"/>
              <w:spacing w:before="196" w:line="220" w:lineRule="auto"/>
              <w:ind w:left="445"/>
            </w:pPr>
            <w:r>
              <w:rPr>
                <w:spacing w:val="2"/>
              </w:rPr>
              <w:t>工作温度</w:t>
            </w:r>
          </w:p>
        </w:tc>
        <w:tc>
          <w:tcPr>
            <w:tcW w:w="6257" w:type="dxa"/>
            <w:vAlign w:val="top"/>
          </w:tcPr>
          <w:p>
            <w:pPr>
              <w:pStyle w:val="6"/>
              <w:spacing w:before="254" w:line="237" w:lineRule="auto"/>
              <w:ind w:left="2642"/>
            </w:pPr>
            <w:r>
              <w:rPr>
                <w:spacing w:val="-1"/>
              </w:rPr>
              <w:t>-30℃-60℃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662" w:type="dxa"/>
            <w:vAlign w:val="top"/>
          </w:tcPr>
          <w:p>
            <w:pPr>
              <w:pStyle w:val="6"/>
              <w:spacing w:before="217" w:line="221" w:lineRule="auto"/>
              <w:ind w:left="535"/>
            </w:pPr>
            <w:r>
              <w:rPr>
                <w:spacing w:val="-5"/>
              </w:rPr>
              <w:t>其</w:t>
            </w:r>
            <w:r>
              <w:rPr>
                <w:spacing w:val="17"/>
              </w:rPr>
              <w:t xml:space="preserve">  </w:t>
            </w:r>
            <w:r>
              <w:rPr>
                <w:spacing w:val="-5"/>
              </w:rPr>
              <w:t>它</w:t>
            </w:r>
          </w:p>
        </w:tc>
        <w:tc>
          <w:tcPr>
            <w:tcW w:w="6257" w:type="dxa"/>
            <w:vAlign w:val="top"/>
          </w:tcPr>
          <w:p>
            <w:pPr>
              <w:pStyle w:val="6"/>
              <w:spacing w:before="225" w:line="219" w:lineRule="auto"/>
              <w:ind w:left="2213"/>
            </w:pPr>
            <w:r>
              <w:rPr>
                <w:spacing w:val="7"/>
              </w:rPr>
              <w:t>光路部分高精度防尘.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trPr>
        <w:tc>
          <w:tcPr>
            <w:tcW w:w="1662" w:type="dxa"/>
            <w:vAlign w:val="top"/>
          </w:tcPr>
          <w:p>
            <w:pPr>
              <w:pStyle w:val="6"/>
              <w:spacing w:before="196" w:line="219" w:lineRule="auto"/>
              <w:ind w:left="445"/>
            </w:pPr>
            <w:r>
              <w:rPr>
                <w:spacing w:val="-2"/>
              </w:rPr>
              <w:t>灯具尺寸</w:t>
            </w:r>
          </w:p>
        </w:tc>
        <w:tc>
          <w:tcPr>
            <w:tcW w:w="6257" w:type="dxa"/>
            <w:vAlign w:val="top"/>
          </w:tcPr>
          <w:p>
            <w:pPr>
              <w:pStyle w:val="6"/>
              <w:spacing w:before="245" w:line="184" w:lineRule="auto"/>
              <w:ind w:left="2552"/>
            </w:pPr>
            <w:r>
              <w:rPr>
                <w:spacing w:val="-1"/>
              </w:rPr>
              <w:t>220*102*97mm</w:t>
            </w:r>
          </w:p>
        </w:tc>
      </w:tr>
    </w:tbl>
    <w:p/>
    <w:p/>
    <w:p/>
    <w:p/>
    <w:p/>
    <w:p/>
    <w:p/>
    <w:p/>
    <w:p/>
    <w:p/>
    <w:p/>
    <w:p/>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c5OGM1ZGFiZGRhZTEwMWVkYjNjMDc0ZmI4ZDdlNzYifQ=="/>
  </w:docVars>
  <w:rsids>
    <w:rsidRoot w:val="65740EB5"/>
    <w:rsid w:val="3FD8434D"/>
    <w:rsid w:val="42CB62BD"/>
    <w:rsid w:val="65740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宋体" w:hAnsi="宋体" w:eastAsia="宋体" w:cs="宋体"/>
      <w:sz w:val="25"/>
      <w:szCs w:val="25"/>
      <w:lang w:val="en-US" w:eastAsia="en-US" w:bidi="ar-SA"/>
    </w:rPr>
  </w:style>
  <w:style w:type="paragraph" w:customStyle="1" w:styleId="6">
    <w:name w:val="Table Text"/>
    <w:basedOn w:val="1"/>
    <w:semiHidden/>
    <w:qFormat/>
    <w:uiPriority w:val="0"/>
    <w:rPr>
      <w:rFonts w:ascii="宋体" w:hAnsi="宋体" w:eastAsia="宋体" w:cs="宋体"/>
      <w:sz w:val="19"/>
      <w:szCs w:val="19"/>
      <w:lang w:val="en-US" w:eastAsia="en-US" w:bidi="ar-SA"/>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2619</Words>
  <Characters>3114</Characters>
  <Lines>0</Lines>
  <Paragraphs>0</Paragraphs>
  <TotalTime>1</TotalTime>
  <ScaleCrop>false</ScaleCrop>
  <LinksUpToDate>false</LinksUpToDate>
  <CharactersWithSpaces>3222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2024-11-15T01:09:00Z</dcterms:created>
  <dc:creator>刘雪锋</dc:creator>
  <cp:lastModifiedBy>lenovo</cp:lastModifiedBy>
  <dcterms:modified xsi:type="dcterms:W3CDTF">2024-11-18T01:47:46Z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E3018D8B4C184854B2CA40BB59681D40</vt:lpwstr>
  </property>
</Properties>
</file>